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EF2" w:rsidRPr="00BC1EF2" w:rsidRDefault="00BC1EF2" w:rsidP="00BC1EF2">
      <w:pPr>
        <w:spacing w:after="0"/>
        <w:rPr>
          <w:rFonts w:asciiTheme="majorBidi" w:hAnsiTheme="majorBidi" w:cstheme="majorBidi"/>
          <w:b/>
          <w:bCs/>
          <w:sz w:val="44"/>
          <w:szCs w:val="44"/>
          <w:rtl/>
          <w:lang w:bidi="ar-IQ"/>
        </w:rPr>
      </w:pPr>
      <w:r w:rsidRPr="00BC1EF2">
        <w:rPr>
          <w:rFonts w:asciiTheme="majorBidi" w:hAnsiTheme="majorBidi" w:cstheme="majorBidi" w:hint="cs"/>
          <w:b/>
          <w:bCs/>
          <w:sz w:val="44"/>
          <w:szCs w:val="44"/>
          <w:rtl/>
          <w:lang w:bidi="ar-IQ"/>
        </w:rPr>
        <w:t xml:space="preserve">د. شامل    </w:t>
      </w:r>
      <w:r>
        <w:rPr>
          <w:rFonts w:asciiTheme="majorBidi" w:hAnsiTheme="majorBidi" w:cstheme="majorBidi" w:hint="cs"/>
          <w:b/>
          <w:bCs/>
          <w:sz w:val="44"/>
          <w:szCs w:val="44"/>
          <w:rtl/>
          <w:lang w:bidi="ar-IQ"/>
        </w:rPr>
        <w:t xml:space="preserve">              </w:t>
      </w:r>
      <w:r w:rsidRPr="00BC1EF2">
        <w:rPr>
          <w:rFonts w:asciiTheme="majorBidi" w:hAnsiTheme="majorBidi" w:cstheme="majorBidi" w:hint="cs"/>
          <w:b/>
          <w:bCs/>
          <w:sz w:val="44"/>
          <w:szCs w:val="44"/>
          <w:rtl/>
          <w:lang w:bidi="ar-IQ"/>
        </w:rPr>
        <w:t xml:space="preserve">     ادوية   </w:t>
      </w:r>
      <w:r>
        <w:rPr>
          <w:rFonts w:asciiTheme="majorBidi" w:hAnsiTheme="majorBidi" w:cstheme="majorBidi" w:hint="cs"/>
          <w:b/>
          <w:bCs/>
          <w:sz w:val="44"/>
          <w:szCs w:val="44"/>
          <w:rtl/>
          <w:lang w:bidi="ar-IQ"/>
        </w:rPr>
        <w:t xml:space="preserve">       </w:t>
      </w:r>
      <w:r w:rsidRPr="00BC1EF2">
        <w:rPr>
          <w:rFonts w:asciiTheme="majorBidi" w:hAnsiTheme="majorBidi" w:cstheme="majorBidi" w:hint="cs"/>
          <w:b/>
          <w:bCs/>
          <w:sz w:val="44"/>
          <w:szCs w:val="44"/>
          <w:rtl/>
          <w:lang w:bidi="ar-IQ"/>
        </w:rPr>
        <w:t xml:space="preserve">    15\2\2018</w:t>
      </w:r>
    </w:p>
    <w:p w:rsidR="00BC1EF2" w:rsidRPr="00BC1EF2" w:rsidRDefault="00BC1EF2" w:rsidP="00BC1EF2">
      <w:pPr>
        <w:spacing w:after="0"/>
        <w:rPr>
          <w:rFonts w:asciiTheme="majorBidi" w:hAnsiTheme="majorBidi" w:cstheme="majorBidi"/>
          <w:b/>
          <w:bCs/>
          <w:sz w:val="44"/>
          <w:szCs w:val="44"/>
          <w:lang w:bidi="ar-IQ"/>
        </w:rPr>
      </w:pPr>
      <w:r w:rsidRPr="00BC1EF2">
        <w:rPr>
          <w:rFonts w:asciiTheme="majorBidi" w:hAnsiTheme="majorBidi" w:cstheme="majorBidi" w:hint="cs"/>
          <w:b/>
          <w:bCs/>
          <w:sz w:val="44"/>
          <w:szCs w:val="44"/>
          <w:rtl/>
          <w:lang w:bidi="ar-IQ"/>
        </w:rPr>
        <w:t xml:space="preserve">عدد الاوراق ( </w:t>
      </w:r>
      <w:r w:rsidR="009D012C">
        <w:rPr>
          <w:rFonts w:asciiTheme="majorBidi" w:hAnsiTheme="majorBidi" w:cstheme="majorBidi" w:hint="cs"/>
          <w:b/>
          <w:bCs/>
          <w:sz w:val="44"/>
          <w:szCs w:val="44"/>
          <w:rtl/>
          <w:lang w:bidi="ar-IQ"/>
        </w:rPr>
        <w:t>7</w:t>
      </w:r>
      <w:r w:rsidRPr="00BC1EF2">
        <w:rPr>
          <w:rFonts w:asciiTheme="majorBidi" w:hAnsiTheme="majorBidi" w:cstheme="majorBidi" w:hint="cs"/>
          <w:b/>
          <w:bCs/>
          <w:sz w:val="44"/>
          <w:szCs w:val="44"/>
          <w:rtl/>
          <w:lang w:bidi="ar-IQ"/>
        </w:rPr>
        <w:t xml:space="preserve"> )   </w:t>
      </w:r>
      <w:r>
        <w:rPr>
          <w:rFonts w:asciiTheme="majorBidi" w:hAnsiTheme="majorBidi" w:cstheme="majorBidi" w:hint="cs"/>
          <w:b/>
          <w:bCs/>
          <w:sz w:val="44"/>
          <w:szCs w:val="44"/>
          <w:rtl/>
          <w:lang w:bidi="ar-IQ"/>
        </w:rPr>
        <w:t xml:space="preserve">     </w:t>
      </w:r>
      <w:r w:rsidRPr="00BC1EF2">
        <w:rPr>
          <w:rFonts w:asciiTheme="majorBidi" w:hAnsiTheme="majorBidi" w:cstheme="majorBidi" w:hint="cs"/>
          <w:b/>
          <w:bCs/>
          <w:sz w:val="44"/>
          <w:szCs w:val="44"/>
          <w:rtl/>
          <w:lang w:bidi="ar-IQ"/>
        </w:rPr>
        <w:t xml:space="preserve"> م\3\موصل   </w:t>
      </w:r>
      <w:r>
        <w:rPr>
          <w:rFonts w:asciiTheme="majorBidi" w:hAnsiTheme="majorBidi" w:cstheme="majorBidi" w:hint="cs"/>
          <w:b/>
          <w:bCs/>
          <w:sz w:val="44"/>
          <w:szCs w:val="44"/>
          <w:rtl/>
          <w:lang w:bidi="ar-IQ"/>
        </w:rPr>
        <w:t xml:space="preserve">        </w:t>
      </w:r>
      <w:r w:rsidRPr="00BC1EF2">
        <w:rPr>
          <w:rFonts w:asciiTheme="majorBidi" w:hAnsiTheme="majorBidi" w:cstheme="majorBidi" w:hint="cs"/>
          <w:b/>
          <w:bCs/>
          <w:sz w:val="44"/>
          <w:szCs w:val="44"/>
          <w:rtl/>
          <w:lang w:bidi="ar-IQ"/>
        </w:rPr>
        <w:t xml:space="preserve">      </w:t>
      </w:r>
      <w:r w:rsidRPr="00BC1EF2">
        <w:rPr>
          <w:rFonts w:asciiTheme="majorBidi" w:hAnsiTheme="majorBidi" w:cstheme="majorBidi"/>
          <w:b/>
          <w:bCs/>
          <w:sz w:val="44"/>
          <w:szCs w:val="44"/>
          <w:lang w:bidi="ar-IQ"/>
        </w:rPr>
        <w:t>lec:</w:t>
      </w:r>
      <w:r w:rsidR="00D80FD9">
        <w:rPr>
          <w:rFonts w:asciiTheme="majorBidi" w:hAnsiTheme="majorBidi" w:cstheme="majorBidi"/>
          <w:b/>
          <w:bCs/>
          <w:sz w:val="44"/>
          <w:szCs w:val="44"/>
          <w:lang w:bidi="ar-IQ"/>
        </w:rPr>
        <w:t>11</w:t>
      </w:r>
      <w:bookmarkStart w:id="0" w:name="_GoBack"/>
      <w:bookmarkEnd w:id="0"/>
      <w:r w:rsidRPr="00BC1EF2">
        <w:rPr>
          <w:rFonts w:asciiTheme="majorBidi" w:hAnsiTheme="majorBidi" w:cstheme="majorBidi"/>
          <w:b/>
          <w:bCs/>
          <w:sz w:val="44"/>
          <w:szCs w:val="44"/>
          <w:lang w:bidi="ar-IQ"/>
        </w:rPr>
        <w:t xml:space="preserve"> </w:t>
      </w:r>
    </w:p>
    <w:p w:rsidR="00BC1EF2" w:rsidRDefault="00BC1EF2" w:rsidP="00BC1EF2">
      <w:pPr>
        <w:bidi w:val="0"/>
        <w:spacing w:after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A2653D" w:rsidRPr="00BC1EF2" w:rsidRDefault="00BC1EF2" w:rsidP="00BC1EF2">
      <w:pPr>
        <w:bidi w:val="0"/>
        <w:spacing w:after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Antihypertensive Drugs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Overview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Hypertension is defined as an elevated systolic BP (SBP), diastolic BP (DBP) or both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SBP ≥140 mmHg and/or a DBP≥90mmHg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Causes: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Primary (Essential)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>Secondary 10-15%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Treatment: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1.Nonpharmacological (Life-style modification)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2.Pharmacological                      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ab/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Goal of Treatment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Reducing hypertension-related complications (target organ damage) was the ultimate goal of treatment , particularly, coronary heart disease, stroke, heart failure, and renal insufficiency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Decisions about the management depend upon: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BP levels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Presence of other cardiovascular risk factors, Target organ damage,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Associated clinical conditions .                                                                       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BASIC PHARMACOLOGY OF ANTIHYPERTENSIVE AGENTS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i/>
          <w:iCs/>
          <w:sz w:val="28"/>
          <w:szCs w:val="28"/>
          <w:lang w:bidi="ar-IQ"/>
        </w:rPr>
        <w:t>Diuretics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spellStart"/>
      <w:r w:rsidRPr="00BC1EF2">
        <w:rPr>
          <w:rFonts w:asciiTheme="majorBidi" w:hAnsiTheme="majorBidi" w:cstheme="majorBidi"/>
          <w:b/>
          <w:bCs/>
          <w:i/>
          <w:iCs/>
          <w:sz w:val="28"/>
          <w:szCs w:val="28"/>
          <w:lang w:bidi="ar-IQ"/>
        </w:rPr>
        <w:t>Sympathoplegic</w:t>
      </w:r>
      <w:proofErr w:type="spellEnd"/>
      <w:r w:rsidRPr="00BC1EF2">
        <w:rPr>
          <w:rFonts w:asciiTheme="majorBidi" w:hAnsiTheme="majorBidi" w:cstheme="majorBidi"/>
          <w:b/>
          <w:bCs/>
          <w:i/>
          <w:iCs/>
          <w:sz w:val="28"/>
          <w:szCs w:val="28"/>
          <w:lang w:bidi="ar-IQ"/>
        </w:rPr>
        <w:t xml:space="preserve"> drugs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1. ß-adrenergic antagonists 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2. α-adrenergic antagonists 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3. Mixed adrenergic antagonists 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4. Centrally acting agents 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5. Adrenergic neuron blocking agents .</w:t>
      </w:r>
    </w:p>
    <w:p w:rsidR="008D7A39" w:rsidRPr="00BC1EF2" w:rsidRDefault="00E779B2" w:rsidP="00BC1EF2">
      <w:pPr>
        <w:numPr>
          <w:ilvl w:val="0"/>
          <w:numId w:val="1"/>
        </w:num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b/>
          <w:bCs/>
          <w:i/>
          <w:iCs/>
          <w:sz w:val="28"/>
          <w:szCs w:val="28"/>
          <w:lang w:bidi="ar-IQ"/>
        </w:rPr>
        <w:t>Calcium channel blockers</w:t>
      </w:r>
    </w:p>
    <w:p w:rsidR="008D7A39" w:rsidRPr="00BC1EF2" w:rsidRDefault="00E779B2" w:rsidP="00BC1EF2">
      <w:pPr>
        <w:numPr>
          <w:ilvl w:val="0"/>
          <w:numId w:val="1"/>
        </w:num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b/>
          <w:bCs/>
          <w:i/>
          <w:iCs/>
          <w:sz w:val="28"/>
          <w:szCs w:val="28"/>
          <w:lang w:bidi="ar-IQ"/>
        </w:rPr>
        <w:t>Angiotensin-converting enzyme inhibitors</w:t>
      </w:r>
    </w:p>
    <w:p w:rsidR="008D7A39" w:rsidRPr="00BC1EF2" w:rsidRDefault="00E779B2" w:rsidP="00BC1EF2">
      <w:pPr>
        <w:numPr>
          <w:ilvl w:val="0"/>
          <w:numId w:val="1"/>
        </w:num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b/>
          <w:bCs/>
          <w:i/>
          <w:iCs/>
          <w:sz w:val="28"/>
          <w:szCs w:val="28"/>
          <w:lang w:bidi="ar-IQ"/>
        </w:rPr>
        <w:t>Angiotensin ІІ receptor antagonists</w:t>
      </w:r>
    </w:p>
    <w:p w:rsidR="008D7A39" w:rsidRPr="00BC1EF2" w:rsidRDefault="00E779B2" w:rsidP="00BC1EF2">
      <w:pPr>
        <w:numPr>
          <w:ilvl w:val="0"/>
          <w:numId w:val="1"/>
        </w:num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b/>
          <w:bCs/>
          <w:i/>
          <w:iCs/>
          <w:sz w:val="28"/>
          <w:szCs w:val="28"/>
          <w:lang w:bidi="ar-IQ"/>
        </w:rPr>
        <w:t>Vasodilators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proofErr w:type="spellStart"/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lastRenderedPageBreak/>
        <w:t>Sympathoplegic</w:t>
      </w:r>
      <w:proofErr w:type="spellEnd"/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agents: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Centrally acting agents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Mechanisms &amp; Sites of Action: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Reduce sympathetic outflow from vasopressor centers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Increase their sensitivity to baroreceptor control.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A. Clonidine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Alpha2-agonist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Reduce norepinephrine release onto relevant receptor sites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Act on presynaptic alpha2-</w:t>
      </w:r>
      <w:r w:rsidRPr="00BC1EF2">
        <w:rPr>
          <w:rFonts w:asciiTheme="majorBidi" w:hAnsiTheme="majorBidi" w:cstheme="majorBidi"/>
          <w:sz w:val="28"/>
          <w:szCs w:val="28"/>
          <w:vertAlign w:val="subscript"/>
          <w:lang w:bidi="ar-IQ"/>
        </w:rPr>
        <w:t xml:space="preserve"> 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adrenoceptors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to inhibit activity of appropriate neurons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Binds to a </w:t>
      </w: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nonadrenoceptor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site, the </w:t>
      </w: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imidazoline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receptor,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4BB29C3" wp14:editId="0B3DE2DA">
            <wp:extent cx="5281448" cy="3941380"/>
            <wp:effectExtent l="0" t="0" r="0" b="2540"/>
            <wp:docPr id="307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Clonidine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Clonidine 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does not decrease renal blood flow or glomerular filtration.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clonidine 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>may be administered in combination with a diuretic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Adverse effects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Sedation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Drying of the nasal mucosa.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Rebound hypertension occurs following abrupt withdrawal.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603483D5" wp14:editId="59B27CE3">
            <wp:extent cx="5275785" cy="4248150"/>
            <wp:effectExtent l="0" t="0" r="1270" b="0"/>
            <wp:docPr id="317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4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B. Methyldopa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Converted to alpha-</w:t>
      </w: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methylnorepinephrine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centrally to diminish the adrenergic outflow from the CNS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Reduced total peripheral resistance and a decreased blood pressure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Blood flow to the kidney is not diminished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Adverse effects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Sedation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Drowsiness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It has been used in hypertensive pregnant patients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ADRENERGIC NEURON-BLOCKING AGENTS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A. GUANETHIDINE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guanethidine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can produce profound </w:t>
      </w: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sympathoplegia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Guanethidine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can produce all of the toxicities expected from </w:t>
      </w: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"pharmacologic </w:t>
      </w:r>
      <w:r w:rsidRPr="00BC1EF2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:</w:t>
      </w:r>
      <w:proofErr w:type="spellStart"/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sympathectomy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>,”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marked postural hypotension,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diarrhea,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impaired ejaculation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lastRenderedPageBreak/>
        <w:t>B.RESERPINE: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Reserpine blocks the ability of </w:t>
      </w: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aminergic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transmitter vesicles to take up and store biogenic amines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Depletion of norepinephrine, dopamine, and serotonin in both central and peripheral neurons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Postural hypotension is mild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Adverse effects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Sedation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Mental depression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Parkinsonism symptoms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Beta-</w:t>
      </w:r>
      <w:proofErr w:type="spellStart"/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Adrenoceptor</w:t>
      </w:r>
      <w:proofErr w:type="spellEnd"/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Blocking Agents: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1.The b-blockers reduce blood pressure primarily by decreasing cardiac output.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2.They may also decrease sympathetic outflow from the central nervous system.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3.Inhibit the release of rennin from the kidneys, thus decreasing the formation of angiotensin II and the secretion of aldosterone.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F6DE9A1" wp14:editId="26A8A52C">
            <wp:extent cx="5269073" cy="3352800"/>
            <wp:effectExtent l="171450" t="171450" r="389255" b="361950"/>
            <wp:docPr id="2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"/>
                    <pic:cNvPicPr/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6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lastRenderedPageBreak/>
        <w:t xml:space="preserve">The prototype B-blocker is </w:t>
      </w:r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>propranolol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, which acts at both B1 and B2 receptors.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Selective blockers of B1 receptors, such as </w:t>
      </w:r>
      <w:proofErr w:type="spellStart"/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>metoprolol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and </w:t>
      </w:r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atenolol 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>are among the most commonly prescribed B-blockers</w:t>
      </w:r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i/>
          <w:iCs/>
          <w:sz w:val="28"/>
          <w:szCs w:val="28"/>
          <w:lang w:bidi="ar-IQ"/>
        </w:rPr>
        <w:t>Therapeutic uses</w:t>
      </w: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1. </w:t>
      </w: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Treatment of  hypertension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2.</w:t>
      </w: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Hypertensive patients with concomitant diseases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i/>
          <w:iCs/>
          <w:sz w:val="28"/>
          <w:szCs w:val="28"/>
          <w:lang w:bidi="ar-IQ"/>
        </w:rPr>
        <w:t>Adverse effects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1.Common effects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2.Alterations in serum lipid patterns: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3.Drug withdrawal: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ED5611A" wp14:editId="4AFAED4C">
            <wp:extent cx="4357718" cy="5467350"/>
            <wp:effectExtent l="0" t="0" r="508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718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lastRenderedPageBreak/>
        <w:t xml:space="preserve">Alpha- </w:t>
      </w:r>
      <w:proofErr w:type="spellStart"/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Adrenoceptor</w:t>
      </w:r>
      <w:proofErr w:type="spellEnd"/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Blocking Agents: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They decrease peripheral vascular resistance and lower arterial blood pressure by causing relaxation of both arterial and venous smooth muscle.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These drugs cause only minimal changes in cardiac output, renal blood flow, and glomerular filtration rate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8D7A39" w:rsidRPr="00BC1EF2" w:rsidRDefault="00E779B2" w:rsidP="00BC1EF2">
      <w:pPr>
        <w:numPr>
          <w:ilvl w:val="0"/>
          <w:numId w:val="2"/>
        </w:num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proofErr w:type="spellStart"/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>Prazosin</w:t>
      </w:r>
      <w:proofErr w:type="spellEnd"/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 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, </w:t>
      </w:r>
      <w:proofErr w:type="spellStart"/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>doxazosin</w:t>
      </w:r>
      <w:proofErr w:type="spellEnd"/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 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, and </w:t>
      </w:r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terazosin 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produce a competitive block of alpha1-adrenoceptors.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 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b/>
          <w:bCs/>
          <w:i/>
          <w:iCs/>
          <w:sz w:val="28"/>
          <w:szCs w:val="28"/>
          <w:lang w:bidi="ar-IQ"/>
        </w:rPr>
        <w:t>Adverse effects: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 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1. Reflex tachycardia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2. First-dose syncope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3. Postural hypotension may occur in some individuals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Alpha and Beta-</w:t>
      </w:r>
      <w:proofErr w:type="spellStart"/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Adrenoceptor</w:t>
      </w:r>
      <w:proofErr w:type="spellEnd"/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Blocking Agents: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Labetalol 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and </w:t>
      </w:r>
      <w:proofErr w:type="spellStart"/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>carvedilol</w:t>
      </w:r>
      <w:proofErr w:type="spellEnd"/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 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block both ɑ1- and </w:t>
      </w:r>
      <w:r w:rsidRPr="00BC1EF2">
        <w:rPr>
          <w:rFonts w:asciiTheme="majorBidi" w:hAnsiTheme="majorBidi" w:cstheme="majorBidi"/>
          <w:sz w:val="28"/>
          <w:szCs w:val="28"/>
          <w:lang w:val="el-GR" w:bidi="ar-IQ"/>
        </w:rPr>
        <w:t>β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1- and </w:t>
      </w:r>
      <w:r w:rsidRPr="00BC1EF2">
        <w:rPr>
          <w:rFonts w:asciiTheme="majorBidi" w:hAnsiTheme="majorBidi" w:cstheme="majorBidi"/>
          <w:sz w:val="28"/>
          <w:szCs w:val="28"/>
          <w:lang w:val="el-GR" w:bidi="ar-IQ"/>
        </w:rPr>
        <w:t>β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2- receptors.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spellStart"/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>Carvedilol</w:t>
      </w:r>
      <w:proofErr w:type="spellEnd"/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, 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although an effective antihypertensive, is mainly used in the treatment of heart failure.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Vasodilators: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Hydralazine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>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This drug causes direct vasodilatation, acting primarily on arteries and arterioles.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This results in a decreased peripheral resistance, which in turn prompts a reflex elevation in heart rate and cardiac output.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It is almost always administered in combination with a beta-blocker, such as </w:t>
      </w:r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propranolol 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(to balance the reflex tachycardia), and a diuretic (to decrease sodium retention).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Hydralazine 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monotherapy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is an accepted method of controlling blood pressure in pregnancy-induced hypertension.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Adverse effects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Headache, tachycardia, nausea, sweating, arrhythmia, and precipitation of angina.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lupus-like syndrome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proofErr w:type="spellStart"/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lastRenderedPageBreak/>
        <w:t>Minoxidil</w:t>
      </w:r>
      <w:proofErr w:type="spellEnd"/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This drug causes dilation of resistance vessels (arterioles) but not of capacitance vessels (</w:t>
      </w: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venules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>).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Reflex tachycardia and fluid retention may be severe and require the concomitant use of a loop diuretic and a beta-blocker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spellStart"/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>Minoxidil</w:t>
      </w:r>
      <w:proofErr w:type="spellEnd"/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 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treatment also causes </w:t>
      </w: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hypertrichosis</w:t>
      </w:r>
      <w:proofErr w:type="spellEnd"/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Calcium-Channel Blockers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Classes of calcium-channel blockers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1. </w:t>
      </w:r>
      <w:proofErr w:type="spellStart"/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Diphenylalkylamines</w:t>
      </w:r>
      <w:proofErr w:type="spellEnd"/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: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Verapamil 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>is the least selective of any calcium-channel blocker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2.Benzothiazepines: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spellStart"/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>Diltiazem</w:t>
      </w:r>
      <w:proofErr w:type="spellEnd"/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 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affects both cardiac and vascular smooth muscle cells; however, it has a less pronounced negative inotropic effect on the heart compared to that of </w:t>
      </w:r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>verapamil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3.Dihydropyridines: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First-generation </w:t>
      </w:r>
      <w:proofErr w:type="spellStart"/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>nifedipine</w:t>
      </w:r>
      <w:proofErr w:type="spellEnd"/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 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and five second-generation agents for treating cardiovascular disease: </w:t>
      </w:r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>amlodipine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, </w:t>
      </w:r>
      <w:proofErr w:type="spellStart"/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>felodipine</w:t>
      </w:r>
      <w:proofErr w:type="spellEnd"/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 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, </w:t>
      </w:r>
      <w:proofErr w:type="spellStart"/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>isradipin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, </w:t>
      </w:r>
      <w:proofErr w:type="spellStart"/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>nicardipin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, and </w:t>
      </w:r>
      <w:proofErr w:type="spellStart"/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>nisoldipine</w:t>
      </w:r>
      <w:proofErr w:type="spellEnd"/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 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All </w:t>
      </w: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dihydropyridines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have a much greater affinity for vascular calcium channels than for calcium channels in the heart.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Amlodipine 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and </w:t>
      </w:r>
      <w:proofErr w:type="spellStart"/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>nicardipine</w:t>
      </w:r>
      <w:proofErr w:type="spellEnd"/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 :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little interaction with other cardiovascular drugs, such as </w:t>
      </w:r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digoxin 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or </w:t>
      </w:r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>warfarin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,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Mechanism of Actions: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Calcium-channel antagonists block the inward movement of calcium by binding to L-type calcium channels in the heart and in smooth muscle of the coronary and peripheral vasculature.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This causes vascular smooth muscle to relax, dilating mainly arterioles.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Therapeutic uses: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Calcium-channel blockers have an intrinsic natriuretic effect and, therefore, do not usually require the addition of a diuretic.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These agents are useful in the treatment of hypertensive patients who also have asthma, diabetes, angina, and/or peripheral vascular disease 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176E680F" wp14:editId="019ACD10">
            <wp:extent cx="4572000" cy="302895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AB98879" wp14:editId="2AB56380">
            <wp:extent cx="5274310" cy="5719330"/>
            <wp:effectExtent l="0" t="0" r="254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1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lastRenderedPageBreak/>
        <w:t>Inhibitors of Angiotensin: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There are four ways to reduce the activity of the Rennin </w:t>
      </w: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Angiotesin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 Aldosterone System (RAAS) in human: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1.β-blockers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2.Rennin Inhibitors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3. ACE inhibitors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4. ARBs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Angiotensin converting enzyme (ACE) inhibitors: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ACE is a membrane-bound enzyme that is localized on the plasma membranes of various cell types, including: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1.Vascular endothelial cells,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2.Renal proximal tubular cells,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3.Neuroepithelial cells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4.Lung, which has a vast surface area of vascular endothelium                                                                    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BB6E6CE" wp14:editId="02C118A3">
            <wp:extent cx="5274310" cy="3118802"/>
            <wp:effectExtent l="0" t="0" r="2540" b="571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8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Pharmacological actions: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Benazepril, Captopril, </w:t>
      </w: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Enalpril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, </w:t>
      </w: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Fosinopril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, </w:t>
      </w: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Lisinopril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, </w:t>
      </w: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Moexipril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, Perindopril, Quinapril, </w:t>
      </w: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Ramipril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and </w:t>
      </w: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Trandolapril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The essential effect of these agents on the RAAS is to inhibit the conversion of the relatively inactive </w:t>
      </w: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Ang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І to the active </w:t>
      </w: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Ang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ІІ 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This action reduces </w:t>
      </w: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Ang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ІІ –mediated vasoconstriction and aldosterone secretion, and ultimately lowers BP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lastRenderedPageBreak/>
        <w:t>Factors contributed to their antihypertensive effect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1.An increase in </w:t>
      </w: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bradykinin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 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2.An increase in the activity of the 11β-</w:t>
      </w: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hydroxysteroid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dehydrogenase enzyme, which could increase the renal sodium excretion by protecting the nonselective MR from cortisol.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3.Blunting of the expected increase in SNS activity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4.Improvement in endothelial dysfunction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Therapeutic uses: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1. Treatment of hypertension.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2. With diuretics is considered the standard regimen for patients with systolic heart failure.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3. Reno- protective effect, through its </w:t>
      </w: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protienuric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>-sparing action in type 2 diabetic hypertensive patients.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4.Reduce overall mortality in acute MI</w:t>
      </w: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Adverse effects: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1. Dry cough, rash, fever, altered taste, hypotension, and Hyperkalemia.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2. Angioedema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3. Reversible renal failure can occur in patients with severe bilateral renal artery stenosis.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4. ACE inhibitors are </w:t>
      </w: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fetotoxic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and should not be used by women who are pregnant.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44DACBFE" wp14:editId="18D095E6">
            <wp:extent cx="4357718" cy="6257925"/>
            <wp:effectExtent l="0" t="0" r="508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718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Drug interactions: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1.Antacids may reduce the bioavailability 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2.Potassium sparing diuretics and potassium supplements may exacerbate hyperkalemia.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3.ACE inhibitors may increase plasma level of digoxin and lithium.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4.NSAIDs may impair the hypotensive effects by blocking </w:t>
      </w: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bradykinin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–mediated vasodilatation.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Angiotensin receptor blockers (ARBs):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The effects of </w:t>
      </w: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Ang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ІІ are mediated via specific membrane-bound receptors.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lastRenderedPageBreak/>
        <w:t>Ang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ІІ is known to interact with at least two distinct </w:t>
      </w: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Ang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ІІ receptor subtypes: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AT1 and AT2 receptors.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15135759" wp14:editId="220AAD0D">
            <wp:extent cx="5274310" cy="3955733"/>
            <wp:effectExtent l="171450" t="171450" r="383540" b="368935"/>
            <wp:docPr id="5" name="Picture 2" descr="img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g04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Mechanism of action: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Losartan, candesartan, </w:t>
      </w: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irbesartan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, valsartan, </w:t>
      </w: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telmisartan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, </w:t>
      </w: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eprosartan</w:t>
      </w:r>
      <w:proofErr w:type="spellEnd"/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Specifically bind to </w:t>
      </w: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Ang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ІІ receptors in vascular smooth muscle, adrenal gland and other tissues, with more than 10000-fold selective for AT1 receptor than  AT2 receptor .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Thereby, relaxing smooth muscle, increasing salt and water excretion, reducing plasma volume, and decreasing cellular hypertrophy.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Therapeutic uses: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1. ARBs are used in patients with mild to moderate hypertension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2. ARBs are as effective as ACEIs in reducing mortality in high risk post-MI survivors.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lastRenderedPageBreak/>
        <w:t>3. ARBs can reduce the combined morbidity and mortality in patients with systolic heart failure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4. ARBs  can be used safely in portal hypertension treatment.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Side effects: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1. Common adverse effects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2.Angioneurotic edema is relatively rare . ARBs does not cause cough.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3. First dose hypotension and rebound hypertension on abrupt withdrawal have not been encountered.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Drug interactions: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1. Cimetidine increases the </w:t>
      </w: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C</w:t>
      </w:r>
      <w:r w:rsidRPr="00BC1EF2">
        <w:rPr>
          <w:rFonts w:asciiTheme="majorBidi" w:hAnsiTheme="majorBidi" w:cstheme="majorBidi"/>
          <w:sz w:val="28"/>
          <w:szCs w:val="28"/>
          <w:vertAlign w:val="subscript"/>
          <w:lang w:bidi="ar-IQ"/>
        </w:rPr>
        <w:t>max</w:t>
      </w:r>
      <w:proofErr w:type="spellEnd"/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of ARBs (due to enhanced absorption)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2. Concomitant ingestion of excess potassium and potassium sparing diuretics, NSAIDs and ß-receptor antagonists may result in hyperkalemia.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Renin Inhibitors: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proofErr w:type="spellStart"/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Aliskiren</w:t>
      </w:r>
      <w:proofErr w:type="spellEnd"/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 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Directly inhibits rennin and, thus, acts earlier in the RAAS than ACE inhibitors or ARBs.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It lowers blood pressure about as effectively as ARBs, ACE inhibitors, and thiazides.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It can also be combined other antihypertensive, such diuretics, ACE inhibitors, ARBs, or calcium-channel blockers.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 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Adverse effects: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1.Aliskiren can cause diarrhea, especially at the higher doses.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2.Aliskiren</w:t>
      </w:r>
      <w:r w:rsidRPr="00BC1EF2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 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can also cause cough and angioedema but probably less often than ACE inhibitors.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3.The drug is contraindicated during pregnancy.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4. Hyperkalemia was significantly more common in patients who received both ARBs and </w:t>
      </w:r>
      <w:proofErr w:type="spellStart"/>
      <w:r w:rsidRPr="00BC1EF2">
        <w:rPr>
          <w:rFonts w:asciiTheme="majorBidi" w:hAnsiTheme="majorBidi" w:cstheme="majorBidi"/>
          <w:sz w:val="28"/>
          <w:szCs w:val="28"/>
          <w:lang w:bidi="ar-IQ"/>
        </w:rPr>
        <w:t>aliskiren</w:t>
      </w:r>
      <w:proofErr w:type="spellEnd"/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TREATING HYPERTENSION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If the patient is young (age &lt;55 years) or non-black, use either an </w:t>
      </w: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A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CE inhibitor (or </w:t>
      </w: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A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>RB) (</w:t>
      </w: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A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).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lastRenderedPageBreak/>
        <w:t xml:space="preserve">For older patients start with either a </w:t>
      </w: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C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alcium channel blocker or thiazide </w:t>
      </w: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D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>iuretic as first-line therapy (</w:t>
      </w: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C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or </w:t>
      </w: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D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>).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If the blood pressure is not controlled at 4 weeks, a second agent should be added: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if the patient is on an </w:t>
      </w: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A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CE inhibitor add a </w:t>
      </w: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C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alcium channel blocker or thiazide </w:t>
      </w: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D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>iuretic (</w:t>
      </w: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A+C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or </w:t>
      </w: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A+D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>),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If blood pressure control is still inadequate on dual therapy, </w:t>
      </w:r>
      <w:r w:rsidRPr="00BC1EF2">
        <w:rPr>
          <w:rFonts w:asciiTheme="majorBidi" w:hAnsiTheme="majorBidi" w:cstheme="majorBidi"/>
          <w:b/>
          <w:bCs/>
          <w:sz w:val="28"/>
          <w:szCs w:val="28"/>
          <w:lang w:bidi="ar-IQ"/>
        </w:rPr>
        <w:t>A+C+D</w:t>
      </w:r>
      <w:r w:rsidRPr="00BC1EF2">
        <w:rPr>
          <w:rFonts w:asciiTheme="majorBidi" w:hAnsiTheme="majorBidi" w:cstheme="majorBidi"/>
          <w:sz w:val="28"/>
          <w:szCs w:val="28"/>
          <w:lang w:bidi="ar-IQ"/>
        </w:rPr>
        <w:t xml:space="preserve"> is the ideal triple regimen. 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C1EF2">
        <w:rPr>
          <w:rFonts w:asciiTheme="majorBidi" w:hAnsiTheme="majorBidi" w:cstheme="majorBidi"/>
          <w:sz w:val="28"/>
          <w:szCs w:val="28"/>
          <w:lang w:bidi="ar-IQ"/>
        </w:rPr>
        <w:t>If additional therapy is required, ɑ-blockade is effective at this stage Patients whose blood pressure remains substantially above target on triple therapy are likely to have aldosterone-sensitive hypertension that responds well to spironolactone</w:t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  <w:r w:rsidRPr="00BC1EF2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E9D9CA6" wp14:editId="4F8F4660">
            <wp:extent cx="5274310" cy="3955733"/>
            <wp:effectExtent l="171450" t="171450" r="383540" b="368935"/>
            <wp:docPr id="6" name="Picture 2" descr="J:\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J:\n 0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1EF2" w:rsidRPr="00BC1EF2" w:rsidRDefault="00BC1EF2" w:rsidP="00BC1EF2">
      <w:pPr>
        <w:bidi w:val="0"/>
        <w:spacing w:after="0"/>
        <w:rPr>
          <w:rFonts w:asciiTheme="majorBidi" w:hAnsiTheme="majorBidi" w:cstheme="majorBidi"/>
          <w:sz w:val="28"/>
          <w:szCs w:val="28"/>
          <w:lang w:bidi="ar-IQ"/>
        </w:rPr>
      </w:pPr>
    </w:p>
    <w:sectPr w:rsidR="00BC1EF2" w:rsidRPr="00BC1EF2" w:rsidSect="00A35E1F">
      <w:footerReference w:type="default" r:id="rId2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60E" w:rsidRDefault="006F460E" w:rsidP="00BC1EF2">
      <w:pPr>
        <w:spacing w:after="0" w:line="240" w:lineRule="auto"/>
      </w:pPr>
      <w:r>
        <w:separator/>
      </w:r>
    </w:p>
  </w:endnote>
  <w:endnote w:type="continuationSeparator" w:id="0">
    <w:p w:rsidR="006F460E" w:rsidRDefault="006F460E" w:rsidP="00BC1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708533925"/>
      <w:docPartObj>
        <w:docPartGallery w:val="Page Numbers (Bottom of Page)"/>
        <w:docPartUnique/>
      </w:docPartObj>
    </w:sdtPr>
    <w:sdtEndPr/>
    <w:sdtContent>
      <w:p w:rsidR="00BC1EF2" w:rsidRDefault="00BC1EF2">
        <w:pPr>
          <w:pStyle w:val="a6"/>
        </w:pPr>
        <w:r w:rsidRPr="00BC1EF2">
          <w:rPr>
            <w:rFonts w:asciiTheme="majorHAnsi" w:eastAsiaTheme="majorEastAsia" w:hAnsiTheme="majorHAnsi" w:cstheme="majorBidi"/>
            <w:noProof/>
            <w:sz w:val="28"/>
            <w:szCs w:val="28"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671019F0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661670" cy="502920"/>
                  <wp:effectExtent l="5080" t="9525" r="9525" b="11430"/>
                  <wp:wrapNone/>
                  <wp:docPr id="652" name="شكل تلقائي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-21600000" flipH="1">
                            <a:off x="0" y="0"/>
                            <a:ext cx="661670" cy="502920"/>
                          </a:xfrm>
                          <a:prstGeom prst="horizontalScroll">
                            <a:avLst>
                              <a:gd name="adj" fmla="val 25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C1EF2" w:rsidRDefault="00BC1EF2">
                              <w:pPr>
                                <w:jc w:val="center"/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D80FD9" w:rsidRPr="00D80FD9">
                                <w:rPr>
                                  <w:noProof/>
                                  <w:color w:val="7F7F7F" w:themeColor="text1" w:themeTint="80"/>
                                  <w:rtl/>
                                  <w:lang w:val="ar-SA"/>
                                </w:rPr>
                                <w:t>14</w:t>
                              </w:r>
                              <w:r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شكل تلقائي 13" o:spid="_x0000_s1026" type="#_x0000_t98" style="position:absolute;left:0;text-align:left;margin-left:0;margin-top:0;width:52.1pt;height:39.6pt;flip:x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" adj="5400" filled="f" fillcolor="#17365d" strokecolor="#a5a5a5">
                  <v:textbox>
                    <w:txbxContent>
                      <w:p w:rsidR="00BC1EF2" w:rsidRDefault="00BC1EF2">
                        <w:pPr>
                          <w:jc w:val="center"/>
                          <w:rPr>
                            <w:color w:val="7F7F7F" w:themeColor="text1" w:themeTint="80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D80FD9" w:rsidRPr="00D80FD9">
                          <w:rPr>
                            <w:noProof/>
                            <w:color w:val="7F7F7F" w:themeColor="text1" w:themeTint="80"/>
                            <w:rtl/>
                            <w:lang w:val="ar-SA"/>
                          </w:rPr>
                          <w:t>14</w:t>
                        </w:r>
                        <w:r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60E" w:rsidRDefault="006F460E" w:rsidP="00BC1EF2">
      <w:pPr>
        <w:spacing w:after="0" w:line="240" w:lineRule="auto"/>
      </w:pPr>
      <w:r>
        <w:separator/>
      </w:r>
    </w:p>
  </w:footnote>
  <w:footnote w:type="continuationSeparator" w:id="0">
    <w:p w:rsidR="006F460E" w:rsidRDefault="006F460E" w:rsidP="00BC1E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72A32"/>
    <w:multiLevelType w:val="hybridMultilevel"/>
    <w:tmpl w:val="DEA64A6C"/>
    <w:lvl w:ilvl="0" w:tplc="6D409F4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C54330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0E41CD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AFEDC1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8C45CD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A4ED93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1F2D99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0A01D0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08C51D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5F8E1F23"/>
    <w:multiLevelType w:val="hybridMultilevel"/>
    <w:tmpl w:val="4D367820"/>
    <w:lvl w:ilvl="0" w:tplc="E412390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DCE6B2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9E62F7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B8AC96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5FCDEE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1E22EF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A6E3B9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CF400F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1642A6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F63"/>
    <w:rsid w:val="00263F63"/>
    <w:rsid w:val="006F460E"/>
    <w:rsid w:val="008D7A39"/>
    <w:rsid w:val="009D012C"/>
    <w:rsid w:val="00A2653D"/>
    <w:rsid w:val="00A35E1F"/>
    <w:rsid w:val="00BC1EF2"/>
    <w:rsid w:val="00D80FD9"/>
    <w:rsid w:val="00E77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1EF2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BC1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BC1E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BC1E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BC1EF2"/>
  </w:style>
  <w:style w:type="paragraph" w:styleId="a6">
    <w:name w:val="footer"/>
    <w:basedOn w:val="a"/>
    <w:link w:val="Char1"/>
    <w:uiPriority w:val="99"/>
    <w:unhideWhenUsed/>
    <w:rsid w:val="00BC1E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BC1E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1EF2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BC1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BC1E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BC1E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BC1EF2"/>
  </w:style>
  <w:style w:type="paragraph" w:styleId="a6">
    <w:name w:val="footer"/>
    <w:basedOn w:val="a"/>
    <w:link w:val="Char1"/>
    <w:uiPriority w:val="99"/>
    <w:unhideWhenUsed/>
    <w:rsid w:val="00BC1E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BC1E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128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056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81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52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7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77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3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microsoft.com/office/2007/relationships/hdphoto" Target="media/hdphoto4.wdp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6.wdp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1712</Words>
  <Characters>9760</Characters>
  <Application>Microsoft Office Word</Application>
  <DocSecurity>0</DocSecurity>
  <Lines>81</Lines>
  <Paragraphs>22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By DR.Ahmed Saker 2O11 - 2O12</Company>
  <LinksUpToDate>false</LinksUpToDate>
  <CharactersWithSpaces>11450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2018-02-15T07:16:00Z</cp:lastPrinted>
  <dcterms:created xsi:type="dcterms:W3CDTF">2018-02-14T19:17:00Z</dcterms:created>
  <dcterms:modified xsi:type="dcterms:W3CDTF">2018-02-15T07:17:00Z</dcterms:modified>
</cp:coreProperties>
</file>