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107" w:rsidRDefault="001A4107" w:rsidP="001A4107">
      <w:pPr>
        <w:bidi w:val="0"/>
        <w:spacing w:after="200" w:line="276" w:lineRule="auto"/>
        <w:jc w:val="center"/>
        <w:rPr>
          <w:rFonts w:ascii="GillSans" w:eastAsia="Calibri" w:hAnsi="Calibri" w:cs="GillSans"/>
          <w:b/>
          <w:bCs/>
          <w:color w:val="FF0000"/>
        </w:rPr>
      </w:pPr>
      <w:r>
        <w:rPr>
          <w:rFonts w:ascii="GillSans" w:eastAsia="Calibri" w:hAnsi="Calibri" w:cs="GillSans"/>
          <w:b/>
          <w:bCs/>
          <w:color w:val="FF0000"/>
        </w:rPr>
        <w:t xml:space="preserve">                                                                                                                  </w:t>
      </w:r>
      <w:r w:rsidRPr="001A4107">
        <w:rPr>
          <w:rFonts w:ascii="GillSans" w:eastAsia="Calibri" w:hAnsi="Calibri" w:cs="GillSans"/>
          <w:b/>
          <w:bCs/>
          <w:color w:val="FF0000"/>
        </w:rPr>
        <w:t xml:space="preserve">Lec:3 </w:t>
      </w:r>
    </w:p>
    <w:p w:rsidR="001A4107" w:rsidRPr="001A4107" w:rsidRDefault="001A4107" w:rsidP="001A4107">
      <w:pPr>
        <w:bidi w:val="0"/>
        <w:spacing w:after="200" w:line="276" w:lineRule="auto"/>
        <w:jc w:val="right"/>
        <w:rPr>
          <w:rFonts w:ascii="GillSans" w:eastAsia="Calibri" w:hAnsi="Calibri" w:cs="GillSans"/>
          <w:b/>
          <w:bCs/>
          <w:color w:val="FF0000"/>
        </w:rPr>
      </w:pPr>
      <w:r>
        <w:rPr>
          <w:rFonts w:ascii="GillSans" w:eastAsia="Calibri" w:hAnsi="Calibri" w:cs="GillSans"/>
          <w:b/>
          <w:bCs/>
          <w:color w:val="FF0000"/>
        </w:rPr>
        <w:t xml:space="preserve">   </w:t>
      </w:r>
      <w:proofErr w:type="spellStart"/>
      <w:r w:rsidR="00BF6571">
        <w:rPr>
          <w:rFonts w:ascii="GillSans" w:eastAsia="Calibri" w:hAnsi="Calibri" w:cs="GillSans"/>
          <w:b/>
          <w:bCs/>
          <w:color w:val="FF0000"/>
        </w:rPr>
        <w:t>Prof</w:t>
      </w:r>
      <w:r w:rsidR="00091551">
        <w:rPr>
          <w:rFonts w:ascii="GillSans" w:eastAsia="Calibri" w:hAnsi="Calibri" w:cs="GillSans"/>
          <w:b/>
          <w:bCs/>
          <w:color w:val="FF0000"/>
        </w:rPr>
        <w:t>.</w:t>
      </w:r>
      <w:r w:rsidR="00BF6571">
        <w:rPr>
          <w:rFonts w:ascii="GillSans" w:eastAsia="Calibri" w:hAnsi="Calibri" w:cs="GillSans"/>
          <w:b/>
          <w:bCs/>
          <w:color w:val="FF0000"/>
        </w:rPr>
        <w:t>Dr</w:t>
      </w:r>
      <w:r>
        <w:rPr>
          <w:rFonts w:ascii="GillSans" w:eastAsia="Calibri" w:hAnsi="Calibri" w:cs="GillSans"/>
          <w:b/>
          <w:bCs/>
          <w:color w:val="FF0000"/>
        </w:rPr>
        <w:t>.Maha</w:t>
      </w:r>
      <w:proofErr w:type="spellEnd"/>
      <w:r w:rsidR="00BF6571">
        <w:rPr>
          <w:rFonts w:ascii="GillSans" w:eastAsia="Calibri" w:hAnsi="Calibri" w:cs="GillSans"/>
          <w:b/>
          <w:bCs/>
          <w:color w:val="FF0000"/>
        </w:rPr>
        <w:t xml:space="preserve"> </w:t>
      </w:r>
      <w:proofErr w:type="spellStart"/>
      <w:r w:rsidR="00BF6571">
        <w:rPr>
          <w:rFonts w:ascii="GillSans" w:eastAsia="Calibri" w:hAnsi="Calibri" w:cs="GillSans"/>
          <w:b/>
          <w:bCs/>
          <w:color w:val="FF0000"/>
        </w:rPr>
        <w:t>AlYasiri</w:t>
      </w:r>
      <w:proofErr w:type="spellEnd"/>
    </w:p>
    <w:p w:rsidR="001A4107" w:rsidRPr="001A4107" w:rsidRDefault="001A4107" w:rsidP="001A4107">
      <w:pPr>
        <w:bidi w:val="0"/>
        <w:spacing w:after="200" w:line="276" w:lineRule="auto"/>
        <w:jc w:val="center"/>
        <w:rPr>
          <w:rFonts w:ascii="GillSans" w:eastAsia="Calibri" w:hAnsi="Calibri" w:cs="GillSans"/>
          <w:b/>
          <w:bCs/>
          <w:color w:val="FF0000"/>
          <w:sz w:val="48"/>
          <w:szCs w:val="48"/>
        </w:rPr>
      </w:pPr>
      <w:r w:rsidRPr="001A4107">
        <w:rPr>
          <w:rFonts w:ascii="GillSans" w:eastAsia="Calibri" w:hAnsi="Calibri" w:cs="GillSans" w:hint="cs"/>
          <w:b/>
          <w:bCs/>
          <w:color w:val="FF0000"/>
          <w:sz w:val="48"/>
          <w:szCs w:val="48"/>
        </w:rPr>
        <w:t>HEMOSTASIS AND THROMBOSIS</w:t>
      </w: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Times New Roman" w:hAnsi="Arial Rounded MT Bold" w:cs="ArialMT"/>
          <w:sz w:val="28"/>
          <w:szCs w:val="28"/>
        </w:rPr>
      </w:pPr>
      <w:r w:rsidRPr="001A4107">
        <w:rPr>
          <w:rFonts w:ascii="Arial Rounded MT Bold" w:eastAsia="Times New Roman" w:hAnsi="Arial Rounded MT Bold" w:cs="ArialMT"/>
          <w:color w:val="00B050"/>
          <w:sz w:val="28"/>
          <w:szCs w:val="28"/>
        </w:rPr>
        <w:t xml:space="preserve">Normal hemostasis </w:t>
      </w:r>
      <w:r w:rsidRPr="001A4107">
        <w:rPr>
          <w:rFonts w:ascii="Arial Rounded MT Bold" w:eastAsia="Times New Roman" w:hAnsi="Arial Rounded MT Bold" w:cs="ArialMT"/>
          <w:sz w:val="28"/>
          <w:szCs w:val="28"/>
        </w:rPr>
        <w:t xml:space="preserve">comprises a series of regulated processes that culminate in the formation of a blood clot that limits bleeding from an injured vessel. </w:t>
      </w: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Times New Roman" w:hAnsi="Arial Rounded MT Bold" w:cs="ArialMT"/>
          <w:sz w:val="28"/>
          <w:szCs w:val="28"/>
        </w:rPr>
      </w:pPr>
      <w:r w:rsidRPr="001A4107">
        <w:rPr>
          <w:rFonts w:ascii="Arial Rounded MT Bold" w:eastAsia="Times New Roman" w:hAnsi="Arial Rounded MT Bold" w:cs="ArialMT"/>
          <w:sz w:val="28"/>
          <w:szCs w:val="28"/>
        </w:rPr>
        <w:t>The pathologic counterpart of hemostasis is thrombosis, the formation of blood clot (thrombus) within non-traumatized, intact vessels.</w:t>
      </w:r>
    </w:p>
    <w:p w:rsidR="001A4107" w:rsidRPr="001A4107" w:rsidRDefault="001A4107" w:rsidP="001A4107">
      <w:pPr>
        <w:autoSpaceDE w:val="0"/>
        <w:autoSpaceDN w:val="0"/>
        <w:bidi w:val="0"/>
        <w:adjustRightInd w:val="0"/>
        <w:spacing w:after="0" w:line="240" w:lineRule="auto"/>
        <w:ind w:left="-567" w:right="-476"/>
        <w:jc w:val="both"/>
        <w:rPr>
          <w:rFonts w:ascii="BookAntiqua" w:eastAsia="Calibri" w:hAnsi="Calibri" w:cs="BookAntiqua"/>
          <w:sz w:val="28"/>
          <w:szCs w:val="28"/>
        </w:rPr>
      </w:pPr>
      <w:r w:rsidRPr="001A4107">
        <w:rPr>
          <w:rFonts w:ascii="Arial Rounded MT Bold" w:eastAsia="Times New Roman" w:hAnsi="Arial Rounded MT Bold" w:cs="ArialMT"/>
          <w:sz w:val="28"/>
          <w:szCs w:val="28"/>
        </w:rPr>
        <w:t>This discussion begins with</w:t>
      </w:r>
      <w:r w:rsidRPr="001A4107">
        <w:rPr>
          <w:rFonts w:ascii="BookAntiqua" w:eastAsia="Calibri" w:hAnsi="Calibri" w:cs="BookAntiqua" w:hint="cs"/>
          <w:sz w:val="28"/>
          <w:szCs w:val="28"/>
        </w:rPr>
        <w:t xml:space="preserve"> </w:t>
      </w:r>
      <w:r w:rsidRPr="001A4107">
        <w:rPr>
          <w:rFonts w:ascii="Arial Rounded MT Bold" w:eastAsia="Times New Roman" w:hAnsi="Arial Rounded MT Bold" w:cs="ArialMT"/>
          <w:sz w:val="28"/>
          <w:szCs w:val="28"/>
        </w:rPr>
        <w:t>normal hemostasis and its regulation, to be followed by causes and consequences of thrombosis.</w:t>
      </w:r>
    </w:p>
    <w:p w:rsidR="001A4107" w:rsidRPr="001A4107" w:rsidRDefault="001A4107" w:rsidP="001A4107">
      <w:pPr>
        <w:autoSpaceDE w:val="0"/>
        <w:autoSpaceDN w:val="0"/>
        <w:bidi w:val="0"/>
        <w:adjustRightInd w:val="0"/>
        <w:spacing w:after="0" w:line="240" w:lineRule="auto"/>
        <w:ind w:left="-567" w:right="-476"/>
        <w:jc w:val="both"/>
        <w:rPr>
          <w:rFonts w:ascii="BookAntiqua" w:eastAsia="Calibri" w:hAnsi="Calibri" w:cs="BookAntiqua"/>
          <w:sz w:val="28"/>
          <w:szCs w:val="28"/>
        </w:rPr>
      </w:pPr>
    </w:p>
    <w:p w:rsidR="001A4107" w:rsidRPr="001A4107" w:rsidRDefault="001A4107" w:rsidP="001A4107">
      <w:pPr>
        <w:autoSpaceDE w:val="0"/>
        <w:autoSpaceDN w:val="0"/>
        <w:bidi w:val="0"/>
        <w:adjustRightInd w:val="0"/>
        <w:spacing w:after="0" w:line="240" w:lineRule="auto"/>
        <w:ind w:left="-567" w:right="-476"/>
        <w:jc w:val="both"/>
        <w:rPr>
          <w:rFonts w:ascii="BookAntiqua" w:eastAsia="Calibri" w:hAnsi="Calibri" w:cs="BookAntiqua"/>
          <w:b/>
          <w:bCs/>
          <w:sz w:val="36"/>
          <w:szCs w:val="36"/>
        </w:rPr>
      </w:pPr>
      <w:r w:rsidRPr="001A4107">
        <w:rPr>
          <w:rFonts w:ascii="BookAntiqua" w:eastAsia="Calibri" w:hAnsi="Calibri" w:cs="BookAntiqua" w:hint="cs"/>
          <w:b/>
          <w:bCs/>
          <w:sz w:val="36"/>
          <w:szCs w:val="36"/>
          <w:highlight w:val="yellow"/>
        </w:rPr>
        <w:t>Normal Hemostasis</w:t>
      </w:r>
    </w:p>
    <w:p w:rsidR="00764569" w:rsidRDefault="001A4107" w:rsidP="001A4107">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sidRPr="001A4107">
        <w:rPr>
          <w:rFonts w:ascii="BookAntiqua" w:eastAsia="Calibri" w:hAnsi="Calibri" w:cs="BookAntiqua" w:hint="cs"/>
          <w:sz w:val="28"/>
          <w:szCs w:val="28"/>
        </w:rPr>
        <w:t xml:space="preserve">     </w:t>
      </w:r>
      <w:r w:rsidRPr="001A4107">
        <w:rPr>
          <w:rFonts w:ascii="Arial Rounded MT Bold" w:eastAsia="Times New Roman" w:hAnsi="Arial Rounded MT Bold" w:cs="ArialMT"/>
          <w:sz w:val="28"/>
          <w:szCs w:val="28"/>
        </w:rPr>
        <w:t>Hemostasis is a precisely orchestrated process involving</w:t>
      </w:r>
      <w:r w:rsidRPr="001A4107">
        <w:rPr>
          <w:rFonts w:ascii="Arial Rounded MT Bold" w:eastAsia="Calibri" w:hAnsi="Arial Rounded MT Bold" w:cs="BookAntiqua"/>
          <w:sz w:val="28"/>
          <w:szCs w:val="28"/>
        </w:rPr>
        <w:t xml:space="preserve"> </w:t>
      </w:r>
      <w:r w:rsidRPr="001A4107">
        <w:rPr>
          <w:rFonts w:ascii="Arial Rounded MT Bold" w:eastAsia="Calibri" w:hAnsi="Arial Rounded MT Bold" w:cs="BookAntiqua"/>
          <w:color w:val="00B050"/>
          <w:sz w:val="28"/>
          <w:szCs w:val="28"/>
        </w:rPr>
        <w:t>platelets, clotting factors</w:t>
      </w:r>
      <w:r w:rsidRPr="001A4107">
        <w:rPr>
          <w:rFonts w:ascii="Arial Rounded MT Bold" w:eastAsia="Calibri" w:hAnsi="Arial Rounded MT Bold" w:cs="BookAntiqua"/>
          <w:sz w:val="28"/>
          <w:szCs w:val="28"/>
        </w:rPr>
        <w:t xml:space="preserve">, and </w:t>
      </w:r>
      <w:r w:rsidRPr="001A4107">
        <w:rPr>
          <w:rFonts w:ascii="Arial Rounded MT Bold" w:eastAsia="Calibri" w:hAnsi="Arial Rounded MT Bold" w:cs="BookAntiqua"/>
          <w:color w:val="00B050"/>
          <w:sz w:val="28"/>
          <w:szCs w:val="28"/>
        </w:rPr>
        <w:t>endothelium</w:t>
      </w:r>
      <w:r w:rsidRPr="001A4107">
        <w:rPr>
          <w:rFonts w:ascii="Arial Rounded MT Bold" w:eastAsia="Calibri" w:hAnsi="Arial Rounded MT Bold" w:cs="BookAntiqua"/>
          <w:sz w:val="28"/>
          <w:szCs w:val="28"/>
        </w:rPr>
        <w:t xml:space="preserve"> that occurs at the site of vascular injury and culminates in the formation of a blood clot, which serves to prevent or limit the extent of bleeding. </w:t>
      </w:r>
    </w:p>
    <w:p w:rsidR="00764569" w:rsidRDefault="00764569" w:rsidP="00764569">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Pr>
          <w:rFonts w:ascii="Arial Rounded MT Bold" w:eastAsia="Calibri" w:hAnsi="Arial Rounded MT Bold" w:cs="BookAntiqua"/>
          <w:sz w:val="28"/>
          <w:szCs w:val="28"/>
        </w:rPr>
        <w:t xml:space="preserve">  </w:t>
      </w:r>
      <w:r w:rsidR="001A4107" w:rsidRPr="001A4107">
        <w:rPr>
          <w:rFonts w:ascii="Arial Rounded MT Bold" w:eastAsia="Calibri" w:hAnsi="Arial Rounded MT Bold" w:cs="BookAntiqua"/>
          <w:sz w:val="28"/>
          <w:szCs w:val="28"/>
        </w:rPr>
        <w:t>The general sequence of events leading to hemostasis at a site of vascular injury:</w:t>
      </w:r>
    </w:p>
    <w:p w:rsidR="001A4107" w:rsidRPr="001A4107" w:rsidRDefault="001A4107" w:rsidP="00764569">
      <w:pPr>
        <w:autoSpaceDE w:val="0"/>
        <w:autoSpaceDN w:val="0"/>
        <w:bidi w:val="0"/>
        <w:adjustRightInd w:val="0"/>
        <w:spacing w:after="0" w:line="240" w:lineRule="auto"/>
        <w:ind w:left="-567" w:right="-476"/>
        <w:jc w:val="both"/>
        <w:rPr>
          <w:rFonts w:ascii="Arial Rounded MT Bold" w:eastAsia="Calibri" w:hAnsi="Arial Rounded MT Bold" w:cs="BookAntiqua"/>
          <w:b/>
          <w:bCs/>
          <w:color w:val="FF0000"/>
          <w:sz w:val="28"/>
          <w:szCs w:val="28"/>
        </w:rPr>
      </w:pPr>
      <w:r w:rsidRPr="001A4107">
        <w:rPr>
          <w:rFonts w:ascii="Arial Rounded MT Bold" w:eastAsia="Calibri" w:hAnsi="Arial Rounded MT Bold" w:cs="BookAntiqua"/>
          <w:sz w:val="28"/>
          <w:szCs w:val="28"/>
        </w:rPr>
        <w:t xml:space="preserve"> (A) After vascular injury, local </w:t>
      </w:r>
      <w:proofErr w:type="spellStart"/>
      <w:r w:rsidRPr="001A4107">
        <w:rPr>
          <w:rFonts w:ascii="Arial Rounded MT Bold" w:eastAsia="Calibri" w:hAnsi="Arial Rounded MT Bold" w:cs="BookAntiqua"/>
          <w:sz w:val="28"/>
          <w:szCs w:val="28"/>
        </w:rPr>
        <w:t>neurohumoral</w:t>
      </w:r>
      <w:proofErr w:type="spellEnd"/>
      <w:r w:rsidRPr="001A4107">
        <w:rPr>
          <w:rFonts w:ascii="Arial Rounded MT Bold" w:eastAsia="Calibri" w:hAnsi="Arial Rounded MT Bold" w:cs="BookAntiqua"/>
          <w:sz w:val="28"/>
          <w:szCs w:val="28"/>
        </w:rPr>
        <w:t xml:space="preserve"> factors induce a </w:t>
      </w:r>
      <w:r w:rsidRPr="001A4107">
        <w:rPr>
          <w:rFonts w:ascii="Arial Rounded MT Bold" w:eastAsia="Calibri" w:hAnsi="Arial Rounded MT Bold" w:cs="BookAntiqua"/>
          <w:b/>
          <w:bCs/>
          <w:color w:val="FF0000"/>
          <w:sz w:val="28"/>
          <w:szCs w:val="28"/>
        </w:rPr>
        <w:t>transient vasoconstriction.</w:t>
      </w:r>
    </w:p>
    <w:p w:rsidR="001A4107" w:rsidRPr="001A4107" w:rsidRDefault="001A4107" w:rsidP="00764569">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(B)</w:t>
      </w:r>
      <w:r w:rsidR="00764569" w:rsidRPr="00764569">
        <w:t xml:space="preserve"> </w:t>
      </w:r>
      <w:r w:rsidR="00764569" w:rsidRPr="00764569">
        <w:rPr>
          <w:rFonts w:ascii="Arial Rounded MT Bold" w:eastAsia="Calibri" w:hAnsi="Arial Rounded MT Bold" w:cs="BookAntiqua"/>
          <w:b/>
          <w:bCs/>
          <w:color w:val="0070C0"/>
          <w:sz w:val="28"/>
          <w:szCs w:val="28"/>
        </w:rPr>
        <w:t>Primary hemostasis: the formation of the platelet plug</w:t>
      </w:r>
      <w:r w:rsidR="00764569" w:rsidRPr="00764569">
        <w:rPr>
          <w:rFonts w:ascii="Arial Rounded MT Bold" w:eastAsia="Calibri" w:hAnsi="Arial Rounded MT Bold" w:cs="BookAntiqua"/>
          <w:b/>
          <w:bCs/>
          <w:sz w:val="28"/>
          <w:szCs w:val="28"/>
        </w:rPr>
        <w:t>.</w:t>
      </w:r>
      <w:r w:rsidRPr="001A4107">
        <w:rPr>
          <w:rFonts w:ascii="Arial Rounded MT Bold" w:eastAsia="Calibri" w:hAnsi="Arial Rounded MT Bold" w:cs="BookAntiqua"/>
          <w:sz w:val="28"/>
          <w:szCs w:val="28"/>
        </w:rPr>
        <w:t xml:space="preserve"> Platelets bind via glycoprotein </w:t>
      </w:r>
      <w:proofErr w:type="spellStart"/>
      <w:r w:rsidRPr="001A4107">
        <w:rPr>
          <w:rFonts w:ascii="Arial Rounded MT Bold" w:eastAsia="Calibri" w:hAnsi="Arial Rounded MT Bold" w:cs="BookAntiqua"/>
          <w:sz w:val="28"/>
          <w:szCs w:val="28"/>
        </w:rPr>
        <w:t>Ib</w:t>
      </w:r>
      <w:proofErr w:type="spellEnd"/>
      <w:r w:rsidRPr="001A4107">
        <w:rPr>
          <w:rFonts w:ascii="Arial Rounded MT Bold" w:eastAsia="Calibri" w:hAnsi="Arial Rounded MT Bold" w:cs="BookAntiqua"/>
          <w:sz w:val="28"/>
          <w:szCs w:val="28"/>
        </w:rPr>
        <w:t xml:space="preserve"> (</w:t>
      </w:r>
      <w:proofErr w:type="spellStart"/>
      <w:r w:rsidRPr="001A4107">
        <w:rPr>
          <w:rFonts w:ascii="Arial Rounded MT Bold" w:eastAsia="Calibri" w:hAnsi="Arial Rounded MT Bold" w:cs="BookAntiqua"/>
          <w:sz w:val="28"/>
          <w:szCs w:val="28"/>
        </w:rPr>
        <w:t>GpIb</w:t>
      </w:r>
      <w:proofErr w:type="spellEnd"/>
      <w:r w:rsidRPr="001A4107">
        <w:rPr>
          <w:rFonts w:ascii="Arial Rounded MT Bold" w:eastAsia="Calibri" w:hAnsi="Arial Rounded MT Bold" w:cs="BookAntiqua"/>
          <w:sz w:val="28"/>
          <w:szCs w:val="28"/>
        </w:rPr>
        <w:t xml:space="preserve">) receptors to von </w:t>
      </w:r>
      <w:proofErr w:type="spellStart"/>
      <w:r w:rsidRPr="001A4107">
        <w:rPr>
          <w:rFonts w:ascii="Arial Rounded MT Bold" w:eastAsia="Calibri" w:hAnsi="Arial Rounded MT Bold" w:cs="BookAntiqua"/>
          <w:sz w:val="28"/>
          <w:szCs w:val="28"/>
        </w:rPr>
        <w:t>Willebrand</w:t>
      </w:r>
      <w:proofErr w:type="spellEnd"/>
      <w:r w:rsidRPr="001A4107">
        <w:rPr>
          <w:rFonts w:ascii="Arial Rounded MT Bold" w:eastAsia="Calibri" w:hAnsi="Arial Rounded MT Bold" w:cs="BookAntiqua"/>
          <w:sz w:val="28"/>
          <w:szCs w:val="28"/>
        </w:rPr>
        <w:t xml:space="preserve"> factor (VWF) on exposed ECM and are activated, undergoing a </w:t>
      </w:r>
      <w:r w:rsidRPr="00764569">
        <w:rPr>
          <w:rFonts w:ascii="Arial Rounded MT Bold" w:eastAsia="Calibri" w:hAnsi="Arial Rounded MT Bold" w:cs="BookAntiqua"/>
          <w:color w:val="00B050"/>
          <w:sz w:val="28"/>
          <w:szCs w:val="28"/>
        </w:rPr>
        <w:t>shape change</w:t>
      </w:r>
      <w:r w:rsidR="00764569" w:rsidRPr="00764569">
        <w:rPr>
          <w:rFonts w:ascii="Arial Rounded MT Bold" w:eastAsia="Calibri" w:hAnsi="Arial Rounded MT Bold" w:cs="BookAntiqua"/>
          <w:color w:val="00B050"/>
          <w:sz w:val="28"/>
          <w:szCs w:val="28"/>
        </w:rPr>
        <w:t xml:space="preserve"> </w:t>
      </w:r>
      <w:r w:rsidR="00764569" w:rsidRPr="00764569">
        <w:rPr>
          <w:rFonts w:ascii="Arial Rounded MT Bold" w:eastAsia="Calibri" w:hAnsi="Arial Rounded MT Bold" w:cs="BookAntiqua"/>
          <w:sz w:val="28"/>
          <w:szCs w:val="28"/>
        </w:rPr>
        <w:t>(from small rounded</w:t>
      </w:r>
      <w:r w:rsidR="00764569">
        <w:rPr>
          <w:rFonts w:ascii="Arial Rounded MT Bold" w:eastAsia="Calibri" w:hAnsi="Arial Rounded MT Bold" w:cs="BookAntiqua"/>
          <w:sz w:val="28"/>
          <w:szCs w:val="28"/>
        </w:rPr>
        <w:t xml:space="preserve"> </w:t>
      </w:r>
      <w:r w:rsidR="00764569" w:rsidRPr="00764569">
        <w:rPr>
          <w:rFonts w:ascii="Arial Rounded MT Bold" w:eastAsia="Calibri" w:hAnsi="Arial Rounded MT Bold" w:cs="BookAntiqua"/>
          <w:sz w:val="28"/>
          <w:szCs w:val="28"/>
        </w:rPr>
        <w:t>discs to flat plates with spiky protrusions that markedly</w:t>
      </w:r>
      <w:r w:rsidR="00764569">
        <w:rPr>
          <w:rFonts w:ascii="Arial Rounded MT Bold" w:eastAsia="Calibri" w:hAnsi="Arial Rounded MT Bold" w:cs="BookAntiqua"/>
          <w:sz w:val="28"/>
          <w:szCs w:val="28"/>
        </w:rPr>
        <w:t xml:space="preserve"> </w:t>
      </w:r>
      <w:r w:rsidR="00764569" w:rsidRPr="00764569">
        <w:rPr>
          <w:rFonts w:ascii="Arial Rounded MT Bold" w:eastAsia="Calibri" w:hAnsi="Arial Rounded MT Bold" w:cs="BookAntiqua"/>
          <w:sz w:val="28"/>
          <w:szCs w:val="28"/>
        </w:rPr>
        <w:t>increased surface area)</w:t>
      </w:r>
      <w:r w:rsidRPr="001A4107">
        <w:rPr>
          <w:rFonts w:ascii="Arial Rounded MT Bold" w:eastAsia="Calibri" w:hAnsi="Arial Rounded MT Bold" w:cs="BookAntiqua"/>
          <w:sz w:val="28"/>
          <w:szCs w:val="28"/>
        </w:rPr>
        <w:t xml:space="preserve"> and </w:t>
      </w:r>
      <w:r w:rsidRPr="00764569">
        <w:rPr>
          <w:rFonts w:ascii="Arial Rounded MT Bold" w:eastAsia="Calibri" w:hAnsi="Arial Rounded MT Bold" w:cs="BookAntiqua"/>
          <w:color w:val="00B050"/>
          <w:sz w:val="28"/>
          <w:szCs w:val="28"/>
        </w:rPr>
        <w:t>granule release</w:t>
      </w:r>
      <w:r w:rsidRPr="001A4107">
        <w:rPr>
          <w:rFonts w:ascii="Arial Rounded MT Bold" w:eastAsia="Calibri" w:hAnsi="Arial Rounded MT Bold" w:cs="BookAntiqua"/>
          <w:sz w:val="28"/>
          <w:szCs w:val="28"/>
        </w:rPr>
        <w:t xml:space="preserve">. </w:t>
      </w:r>
      <w:r w:rsidR="00764569" w:rsidRPr="00764569">
        <w:rPr>
          <w:rFonts w:ascii="Arial Rounded MT Bold" w:eastAsia="Calibri" w:hAnsi="Arial Rounded MT Bold" w:cs="BookAntiqua"/>
          <w:sz w:val="28"/>
          <w:szCs w:val="28"/>
        </w:rPr>
        <w:t>Within minutes the secreted products</w:t>
      </w:r>
      <w:r w:rsidR="00764569">
        <w:rPr>
          <w:rFonts w:ascii="Arial Rounded MT Bold" w:eastAsia="Calibri" w:hAnsi="Arial Rounded MT Bold" w:cs="BookAntiqua"/>
          <w:sz w:val="28"/>
          <w:szCs w:val="28"/>
        </w:rPr>
        <w:t xml:space="preserve"> </w:t>
      </w:r>
      <w:r w:rsidR="00764569" w:rsidRPr="00764569">
        <w:rPr>
          <w:rFonts w:ascii="Arial Rounded MT Bold" w:eastAsia="Calibri" w:hAnsi="Arial Rounded MT Bold" w:cs="BookAntiqua"/>
          <w:sz w:val="28"/>
          <w:szCs w:val="28"/>
        </w:rPr>
        <w:t xml:space="preserve">recruit additional platelets, which undergo </w:t>
      </w:r>
      <w:r w:rsidR="00764569" w:rsidRPr="00764569">
        <w:rPr>
          <w:rFonts w:ascii="Arial Rounded MT Bold" w:eastAsia="Calibri" w:hAnsi="Arial Rounded MT Bold" w:cs="BookAntiqua"/>
          <w:i/>
          <w:iCs/>
          <w:sz w:val="28"/>
          <w:szCs w:val="28"/>
        </w:rPr>
        <w:t>aggregation</w:t>
      </w:r>
      <w:r w:rsidR="00764569">
        <w:rPr>
          <w:rFonts w:ascii="Arial Rounded MT Bold" w:eastAsia="Calibri" w:hAnsi="Arial Rounded MT Bold" w:cs="BookAntiqua"/>
          <w:sz w:val="28"/>
          <w:szCs w:val="28"/>
        </w:rPr>
        <w:t xml:space="preserve"> </w:t>
      </w:r>
      <w:r w:rsidR="00764569" w:rsidRPr="00764569">
        <w:rPr>
          <w:rFonts w:ascii="Arial Rounded MT Bold" w:eastAsia="Calibri" w:hAnsi="Arial Rounded MT Bold" w:cs="BookAntiqua"/>
          <w:sz w:val="28"/>
          <w:szCs w:val="28"/>
        </w:rPr>
        <w:t xml:space="preserve">to form a </w:t>
      </w:r>
      <w:r w:rsidRPr="001A4107">
        <w:rPr>
          <w:rFonts w:ascii="Arial Rounded MT Bold" w:eastAsia="Calibri" w:hAnsi="Arial Rounded MT Bold" w:cs="BookAntiqua"/>
          <w:b/>
          <w:bCs/>
          <w:color w:val="FF0000"/>
          <w:sz w:val="28"/>
          <w:szCs w:val="28"/>
        </w:rPr>
        <w:t>primary hemostatic plug.</w:t>
      </w:r>
      <w:r w:rsidRPr="001A4107">
        <w:rPr>
          <w:rFonts w:ascii="Arial Rounded MT Bold" w:eastAsia="Calibri" w:hAnsi="Arial Rounded MT Bold" w:cs="BookAntiqua"/>
          <w:color w:val="FF0000"/>
          <w:sz w:val="28"/>
          <w:szCs w:val="28"/>
        </w:rPr>
        <w:t xml:space="preserve"> </w:t>
      </w:r>
    </w:p>
    <w:p w:rsidR="00764569" w:rsidRPr="00764569" w:rsidRDefault="001A4107" w:rsidP="00764569">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(C) </w:t>
      </w:r>
      <w:r w:rsidR="00764569" w:rsidRPr="00764569">
        <w:rPr>
          <w:rFonts w:ascii="Arial Rounded MT Bold" w:eastAsia="Calibri" w:hAnsi="Arial Rounded MT Bold" w:cs="BookAntiqua"/>
          <w:b/>
          <w:bCs/>
          <w:color w:val="0070C0"/>
          <w:sz w:val="28"/>
          <w:szCs w:val="28"/>
        </w:rPr>
        <w:t>Secondary hemostasis: deposition of fibrin.</w:t>
      </w:r>
      <w:r w:rsidR="00764569" w:rsidRPr="00764569">
        <w:rPr>
          <w:rFonts w:ascii="Arial Rounded MT Bold" w:eastAsia="Calibri" w:hAnsi="Arial Rounded MT Bold" w:cs="BookAntiqua"/>
          <w:color w:val="0070C0"/>
          <w:sz w:val="28"/>
          <w:szCs w:val="28"/>
        </w:rPr>
        <w:t xml:space="preserve"> </w:t>
      </w:r>
      <w:r w:rsidR="00764569" w:rsidRPr="00764569">
        <w:rPr>
          <w:rFonts w:ascii="Arial Rounded MT Bold" w:eastAsia="Calibri" w:hAnsi="Arial Rounded MT Bold" w:cs="BookAntiqua"/>
          <w:sz w:val="28"/>
          <w:szCs w:val="28"/>
        </w:rPr>
        <w:t>Vascular injury</w:t>
      </w:r>
    </w:p>
    <w:p w:rsidR="001A4107" w:rsidRPr="001A4107" w:rsidRDefault="00764569" w:rsidP="000D117A">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sidRPr="00764569">
        <w:rPr>
          <w:rFonts w:ascii="Arial Rounded MT Bold" w:eastAsia="Calibri" w:hAnsi="Arial Rounded MT Bold" w:cs="BookAntiqua"/>
          <w:sz w:val="28"/>
          <w:szCs w:val="28"/>
        </w:rPr>
        <w:t>exposes tissu</w:t>
      </w:r>
      <w:r w:rsidR="000D117A">
        <w:rPr>
          <w:rFonts w:ascii="Arial Rounded MT Bold" w:eastAsia="Calibri" w:hAnsi="Arial Rounded MT Bold" w:cs="BookAntiqua"/>
          <w:sz w:val="28"/>
          <w:szCs w:val="28"/>
        </w:rPr>
        <w:t xml:space="preserve">e factor at the site of injury. </w:t>
      </w:r>
      <w:r w:rsidRPr="00764569">
        <w:rPr>
          <w:rFonts w:ascii="Arial Rounded MT Bold" w:eastAsia="Calibri" w:hAnsi="Arial Rounded MT Bold" w:cs="BookAntiqua"/>
          <w:sz w:val="28"/>
          <w:szCs w:val="28"/>
        </w:rPr>
        <w:t>Tissue factor is</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a glycoprotein that is</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 xml:space="preserve">normally expressed by </w:t>
      </w:r>
      <w:proofErr w:type="spellStart"/>
      <w:r w:rsidRPr="00764569">
        <w:rPr>
          <w:rFonts w:ascii="Arial Rounded MT Bold" w:eastAsia="Calibri" w:hAnsi="Arial Rounded MT Bold" w:cs="BookAntiqua"/>
          <w:sz w:val="28"/>
          <w:szCs w:val="28"/>
        </w:rPr>
        <w:t>subendothelial</w:t>
      </w:r>
      <w:proofErr w:type="spellEnd"/>
      <w:r w:rsidRPr="00764569">
        <w:rPr>
          <w:rFonts w:ascii="Arial Rounded MT Bold" w:eastAsia="Calibri" w:hAnsi="Arial Rounded MT Bold" w:cs="BookAntiqua"/>
          <w:sz w:val="28"/>
          <w:szCs w:val="28"/>
        </w:rPr>
        <w:t xml:space="preserve"> cells in the vessel</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wall, such as smooth muscle cells and fibroblasts. Tissue</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factor binds and activates fa</w:t>
      </w:r>
      <w:r>
        <w:rPr>
          <w:rFonts w:ascii="Arial Rounded MT Bold" w:eastAsia="Calibri" w:hAnsi="Arial Rounded MT Bold" w:cs="BookAntiqua"/>
          <w:sz w:val="28"/>
          <w:szCs w:val="28"/>
        </w:rPr>
        <w:t xml:space="preserve">ctor VII, setting </w:t>
      </w:r>
      <w:r w:rsidRPr="00764569">
        <w:rPr>
          <w:rFonts w:ascii="Arial Rounded MT Bold" w:eastAsia="Calibri" w:hAnsi="Arial Rounded MT Bold" w:cs="BookAntiqua"/>
          <w:sz w:val="28"/>
          <w:szCs w:val="28"/>
        </w:rPr>
        <w:t xml:space="preserve">motion a cascade of reactions that </w:t>
      </w:r>
      <w:proofErr w:type="spellStart"/>
      <w:r w:rsidRPr="00764569">
        <w:rPr>
          <w:rFonts w:ascii="Arial Rounded MT Bold" w:eastAsia="Calibri" w:hAnsi="Arial Rounded MT Bold" w:cs="BookAntiqua"/>
          <w:sz w:val="28"/>
          <w:szCs w:val="28"/>
        </w:rPr>
        <w:t>culiminates</w:t>
      </w:r>
      <w:proofErr w:type="spellEnd"/>
      <w:r w:rsidRPr="00764569">
        <w:rPr>
          <w:rFonts w:ascii="Arial Rounded MT Bold" w:eastAsia="Calibri" w:hAnsi="Arial Rounded MT Bold" w:cs="BookAntiqua"/>
          <w:sz w:val="28"/>
          <w:szCs w:val="28"/>
        </w:rPr>
        <w:t xml:space="preserve"> in </w:t>
      </w:r>
      <w:r w:rsidRPr="000D117A">
        <w:rPr>
          <w:rFonts w:ascii="Arial Rounded MT Bold" w:eastAsia="Calibri" w:hAnsi="Arial Rounded MT Bold" w:cs="BookAntiqua"/>
          <w:b/>
          <w:bCs/>
          <w:color w:val="7030A0"/>
          <w:sz w:val="28"/>
          <w:szCs w:val="28"/>
        </w:rPr>
        <w:t>thrombin</w:t>
      </w:r>
      <w:r w:rsidRPr="000D117A">
        <w:rPr>
          <w:rFonts w:ascii="Arial Rounded MT Bold" w:eastAsia="Calibri" w:hAnsi="Arial Rounded MT Bold" w:cs="BookAntiqua"/>
          <w:b/>
          <w:bCs/>
          <w:color w:val="7030A0"/>
          <w:sz w:val="28"/>
          <w:szCs w:val="28"/>
        </w:rPr>
        <w:t xml:space="preserve"> </w:t>
      </w:r>
      <w:r w:rsidRPr="000D117A">
        <w:rPr>
          <w:rFonts w:ascii="Arial Rounded MT Bold" w:eastAsia="Calibri" w:hAnsi="Arial Rounded MT Bold" w:cs="BookAntiqua"/>
          <w:b/>
          <w:bCs/>
          <w:color w:val="7030A0"/>
          <w:sz w:val="28"/>
          <w:szCs w:val="28"/>
        </w:rPr>
        <w:t>generation</w:t>
      </w:r>
      <w:r w:rsidRPr="00764569">
        <w:rPr>
          <w:rFonts w:ascii="Arial Rounded MT Bold" w:eastAsia="Calibri" w:hAnsi="Arial Rounded MT Bold" w:cs="BookAntiqua"/>
          <w:sz w:val="28"/>
          <w:szCs w:val="28"/>
        </w:rPr>
        <w:t xml:space="preserve">. Thrombin cleaves circulating </w:t>
      </w:r>
      <w:r w:rsidRPr="000D117A">
        <w:rPr>
          <w:rFonts w:ascii="Arial Rounded MT Bold" w:eastAsia="Calibri" w:hAnsi="Arial Rounded MT Bold" w:cs="BookAntiqua"/>
          <w:b/>
          <w:bCs/>
          <w:color w:val="00B050"/>
          <w:sz w:val="28"/>
          <w:szCs w:val="28"/>
        </w:rPr>
        <w:t>fibrinogen</w:t>
      </w:r>
      <w:r w:rsidR="000D117A" w:rsidRPr="000D117A">
        <w:rPr>
          <w:rFonts w:ascii="Arial Rounded MT Bold" w:eastAsia="Calibri" w:hAnsi="Arial Rounded MT Bold" w:cs="BookAntiqua"/>
          <w:b/>
          <w:bCs/>
          <w:color w:val="00B050"/>
          <w:sz w:val="28"/>
          <w:szCs w:val="28"/>
        </w:rPr>
        <w:t xml:space="preserve"> </w:t>
      </w:r>
      <w:r w:rsidRPr="000D117A">
        <w:rPr>
          <w:rFonts w:ascii="Arial Rounded MT Bold" w:eastAsia="Calibri" w:hAnsi="Arial Rounded MT Bold" w:cs="BookAntiqua"/>
          <w:b/>
          <w:bCs/>
          <w:color w:val="00B050"/>
          <w:sz w:val="28"/>
          <w:szCs w:val="28"/>
        </w:rPr>
        <w:t>into insoluble fibrin</w:t>
      </w:r>
      <w:r w:rsidRPr="00764569">
        <w:rPr>
          <w:rFonts w:ascii="Arial Rounded MT Bold" w:eastAsia="Calibri" w:hAnsi="Arial Rounded MT Bold" w:cs="BookAntiqua"/>
          <w:sz w:val="28"/>
          <w:szCs w:val="28"/>
        </w:rPr>
        <w:t>, creating a fibrin meshwork, and</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 xml:space="preserve">also is a </w:t>
      </w:r>
      <w:r w:rsidRPr="000D117A">
        <w:rPr>
          <w:rFonts w:ascii="Arial Rounded MT Bold" w:eastAsia="Calibri" w:hAnsi="Arial Rounded MT Bold" w:cs="BookAntiqua"/>
          <w:b/>
          <w:bCs/>
          <w:color w:val="00B050"/>
          <w:sz w:val="28"/>
          <w:szCs w:val="28"/>
        </w:rPr>
        <w:t>potent activator of platelets</w:t>
      </w:r>
      <w:r w:rsidRPr="00764569">
        <w:rPr>
          <w:rFonts w:ascii="Arial Rounded MT Bold" w:eastAsia="Calibri" w:hAnsi="Arial Rounded MT Bold" w:cs="BookAntiqua"/>
          <w:sz w:val="28"/>
          <w:szCs w:val="28"/>
        </w:rPr>
        <w:t>, leading to additional</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platelet aggregation at the site of injury. This</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sequence, referred to as secondary hemostasis, consolidates</w:t>
      </w:r>
      <w:r>
        <w:rPr>
          <w:rFonts w:ascii="Arial Rounded MT Bold" w:eastAsia="Calibri" w:hAnsi="Arial Rounded MT Bold" w:cs="BookAntiqua"/>
          <w:sz w:val="28"/>
          <w:szCs w:val="28"/>
        </w:rPr>
        <w:t xml:space="preserve"> </w:t>
      </w:r>
      <w:r w:rsidRPr="00764569">
        <w:rPr>
          <w:rFonts w:ascii="Arial Rounded MT Bold" w:eastAsia="Calibri" w:hAnsi="Arial Rounded MT Bold" w:cs="BookAntiqua"/>
          <w:sz w:val="28"/>
          <w:szCs w:val="28"/>
        </w:rPr>
        <w:t>the initial platelet plug</w:t>
      </w:r>
      <w:r w:rsidR="000D117A">
        <w:rPr>
          <w:rFonts w:ascii="Arial Rounded MT Bold" w:eastAsia="Calibri" w:hAnsi="Arial Rounded MT Bold" w:cs="BookAntiqua"/>
          <w:b/>
          <w:bCs/>
          <w:color w:val="FF0000"/>
          <w:sz w:val="28"/>
          <w:szCs w:val="28"/>
        </w:rPr>
        <w:t xml:space="preserve"> </w:t>
      </w:r>
      <w:r w:rsidR="001A4107" w:rsidRPr="001A4107">
        <w:rPr>
          <w:rFonts w:ascii="Arial Rounded MT Bold" w:eastAsia="Calibri" w:hAnsi="Arial Rounded MT Bold" w:cs="BookAntiqua"/>
          <w:b/>
          <w:bCs/>
          <w:color w:val="FF0000"/>
          <w:sz w:val="28"/>
          <w:szCs w:val="28"/>
        </w:rPr>
        <w:t>definitive secondary hemostatic plug.</w:t>
      </w:r>
      <w:r w:rsidR="001A4107" w:rsidRPr="001A4107">
        <w:rPr>
          <w:rFonts w:ascii="Arial Rounded MT Bold" w:eastAsia="Calibri" w:hAnsi="Arial Rounded MT Bold" w:cs="BookAntiqua"/>
          <w:sz w:val="28"/>
          <w:szCs w:val="28"/>
        </w:rPr>
        <w:t xml:space="preserve"> </w:t>
      </w:r>
    </w:p>
    <w:p w:rsidR="001A4107" w:rsidRPr="001A4107" w:rsidRDefault="001A4107" w:rsidP="00517AAB">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lastRenderedPageBreak/>
        <w:t xml:space="preserve">(D) </w:t>
      </w:r>
      <w:r w:rsidR="000D117A" w:rsidRPr="000D117A">
        <w:rPr>
          <w:rFonts w:ascii="Arial Rounded MT Bold" w:eastAsia="Calibri" w:hAnsi="Arial Rounded MT Bold" w:cs="BookAntiqua"/>
          <w:b/>
          <w:bCs/>
          <w:color w:val="0070C0"/>
          <w:sz w:val="28"/>
          <w:szCs w:val="28"/>
        </w:rPr>
        <w:t xml:space="preserve">Clot stabilization and </w:t>
      </w:r>
      <w:proofErr w:type="spellStart"/>
      <w:r w:rsidR="000D117A" w:rsidRPr="000D117A">
        <w:rPr>
          <w:rFonts w:ascii="Arial Rounded MT Bold" w:eastAsia="Calibri" w:hAnsi="Arial Rounded MT Bold" w:cs="BookAntiqua"/>
          <w:b/>
          <w:bCs/>
          <w:color w:val="0070C0"/>
          <w:sz w:val="28"/>
          <w:szCs w:val="28"/>
        </w:rPr>
        <w:t>resorption</w:t>
      </w:r>
      <w:proofErr w:type="spellEnd"/>
      <w:r w:rsidR="000D117A" w:rsidRPr="000D117A">
        <w:rPr>
          <w:rFonts w:ascii="Arial Rounded MT Bold" w:eastAsia="Calibri" w:hAnsi="Arial Rounded MT Bold" w:cs="BookAntiqua"/>
          <w:b/>
          <w:bCs/>
          <w:color w:val="0070C0"/>
          <w:sz w:val="28"/>
          <w:szCs w:val="28"/>
        </w:rPr>
        <w:t>.</w:t>
      </w:r>
      <w:r w:rsidR="000D117A" w:rsidRPr="000D117A">
        <w:rPr>
          <w:rFonts w:ascii="Arial Rounded MT Bold" w:eastAsia="Calibri" w:hAnsi="Arial Rounded MT Bold" w:cs="BookAntiqua"/>
          <w:color w:val="0070C0"/>
          <w:sz w:val="28"/>
          <w:szCs w:val="28"/>
        </w:rPr>
        <w:t xml:space="preserve"> </w:t>
      </w:r>
      <w:r w:rsidR="000D117A" w:rsidRPr="000D117A">
        <w:rPr>
          <w:rFonts w:ascii="Arial Rounded MT Bold" w:eastAsia="Calibri" w:hAnsi="Arial Rounded MT Bold" w:cs="BookAntiqua"/>
          <w:sz w:val="28"/>
          <w:szCs w:val="28"/>
        </w:rPr>
        <w:t>Polymerized fibrin and</w:t>
      </w:r>
      <w:r w:rsidR="000D117A">
        <w:rPr>
          <w:rFonts w:ascii="Arial Rounded MT Bold" w:eastAsia="Calibri" w:hAnsi="Arial Rounded MT Bold" w:cs="BookAntiqua"/>
          <w:sz w:val="28"/>
          <w:szCs w:val="28"/>
        </w:rPr>
        <w:t xml:space="preserve"> </w:t>
      </w:r>
      <w:r w:rsidR="000D117A" w:rsidRPr="000D117A">
        <w:rPr>
          <w:rFonts w:ascii="Arial Rounded MT Bold" w:eastAsia="Calibri" w:hAnsi="Arial Rounded MT Bold" w:cs="BookAntiqua"/>
          <w:sz w:val="28"/>
          <w:szCs w:val="28"/>
        </w:rPr>
        <w:t>platelet aggregates undergo contraction to form a solid</w:t>
      </w:r>
      <w:r w:rsidR="000D117A" w:rsidRPr="000D117A">
        <w:rPr>
          <w:rFonts w:ascii="Arial Rounded MT Bold" w:eastAsia="Calibri" w:hAnsi="Arial Rounded MT Bold" w:cs="BookAntiqua"/>
          <w:sz w:val="28"/>
          <w:szCs w:val="28"/>
          <w:rtl/>
        </w:rPr>
        <w:t>,</w:t>
      </w:r>
      <w:r w:rsidR="000D117A">
        <w:rPr>
          <w:rFonts w:ascii="Arial Rounded MT Bold" w:eastAsia="Calibri" w:hAnsi="Arial Rounded MT Bold" w:cs="BookAntiqua"/>
          <w:sz w:val="28"/>
          <w:szCs w:val="28"/>
        </w:rPr>
        <w:t xml:space="preserve"> </w:t>
      </w:r>
      <w:r w:rsidR="000D117A" w:rsidRPr="000D117A">
        <w:rPr>
          <w:rFonts w:ascii="Arial Rounded MT Bold" w:eastAsia="Calibri" w:hAnsi="Arial Rounded MT Bold" w:cs="BookAntiqua"/>
          <w:sz w:val="28"/>
          <w:szCs w:val="28"/>
        </w:rPr>
        <w:t>permanent plug that prevents further hemorrhage. At this</w:t>
      </w:r>
      <w:r w:rsidR="000D117A">
        <w:rPr>
          <w:rFonts w:ascii="Arial Rounded MT Bold" w:eastAsia="Calibri" w:hAnsi="Arial Rounded MT Bold" w:cs="BookAntiqua"/>
          <w:sz w:val="28"/>
          <w:szCs w:val="28"/>
        </w:rPr>
        <w:t xml:space="preserve"> </w:t>
      </w:r>
      <w:r w:rsidR="000D117A" w:rsidRPr="000D117A">
        <w:rPr>
          <w:rFonts w:ascii="Arial Rounded MT Bold" w:eastAsia="Calibri" w:hAnsi="Arial Rounded MT Bold" w:cs="BookAntiqua"/>
          <w:sz w:val="28"/>
          <w:szCs w:val="28"/>
        </w:rPr>
        <w:t xml:space="preserve">stage, </w:t>
      </w:r>
      <w:proofErr w:type="spellStart"/>
      <w:r w:rsidR="000D117A" w:rsidRPr="000D117A">
        <w:rPr>
          <w:rFonts w:ascii="Arial Rounded MT Bold" w:eastAsia="Calibri" w:hAnsi="Arial Rounded MT Bold" w:cs="BookAntiqua"/>
          <w:sz w:val="28"/>
          <w:szCs w:val="28"/>
        </w:rPr>
        <w:t>counterregulatory</w:t>
      </w:r>
      <w:proofErr w:type="spellEnd"/>
      <w:r w:rsidR="000D117A" w:rsidRPr="000D117A">
        <w:rPr>
          <w:rFonts w:ascii="Arial Rounded MT Bold" w:eastAsia="Calibri" w:hAnsi="Arial Rounded MT Bold" w:cs="BookAntiqua"/>
          <w:sz w:val="28"/>
          <w:szCs w:val="28"/>
        </w:rPr>
        <w:t xml:space="preserve"> mechanisms (e.g., tissue plasminogen</w:t>
      </w:r>
      <w:r w:rsidR="000D117A">
        <w:rPr>
          <w:rFonts w:ascii="Arial Rounded MT Bold" w:eastAsia="Calibri" w:hAnsi="Arial Rounded MT Bold" w:cs="BookAntiqua"/>
          <w:sz w:val="28"/>
          <w:szCs w:val="28"/>
        </w:rPr>
        <w:t xml:space="preserve"> </w:t>
      </w:r>
      <w:r w:rsidR="00517AAB">
        <w:rPr>
          <w:rFonts w:ascii="Arial Rounded MT Bold" w:eastAsia="Calibri" w:hAnsi="Arial Rounded MT Bold" w:cs="BookAntiqua"/>
          <w:sz w:val="28"/>
          <w:szCs w:val="28"/>
        </w:rPr>
        <w:t xml:space="preserve">activator, t-PA made by </w:t>
      </w:r>
      <w:r w:rsidR="000D117A" w:rsidRPr="000D117A">
        <w:rPr>
          <w:rFonts w:ascii="Arial Rounded MT Bold" w:eastAsia="Calibri" w:hAnsi="Arial Rounded MT Bold" w:cs="BookAntiqua"/>
          <w:sz w:val="28"/>
          <w:szCs w:val="28"/>
        </w:rPr>
        <w:t>endothelial cells) are set into</w:t>
      </w:r>
      <w:r w:rsidR="00517AAB">
        <w:rPr>
          <w:rFonts w:ascii="Arial Rounded MT Bold" w:eastAsia="Calibri" w:hAnsi="Arial Rounded MT Bold" w:cs="BookAntiqua"/>
          <w:sz w:val="28"/>
          <w:szCs w:val="28"/>
        </w:rPr>
        <w:t xml:space="preserve"> </w:t>
      </w:r>
      <w:r w:rsidR="000D117A" w:rsidRPr="000D117A">
        <w:rPr>
          <w:rFonts w:ascii="Arial Rounded MT Bold" w:eastAsia="Calibri" w:hAnsi="Arial Rounded MT Bold" w:cs="BookAntiqua"/>
          <w:sz w:val="28"/>
          <w:szCs w:val="28"/>
        </w:rPr>
        <w:t xml:space="preserve">motion that limit clotting to the site of injury and eventually lead to clot </w:t>
      </w:r>
      <w:proofErr w:type="spellStart"/>
      <w:r w:rsidR="000D117A" w:rsidRPr="000D117A">
        <w:rPr>
          <w:rFonts w:ascii="Arial Rounded MT Bold" w:eastAsia="Calibri" w:hAnsi="Arial Rounded MT Bold" w:cs="BookAntiqua"/>
          <w:sz w:val="28"/>
          <w:szCs w:val="28"/>
        </w:rPr>
        <w:t>resorption</w:t>
      </w:r>
      <w:proofErr w:type="spellEnd"/>
      <w:r w:rsidR="000D117A" w:rsidRPr="000D117A">
        <w:rPr>
          <w:rFonts w:ascii="Arial Rounded MT Bold" w:eastAsia="Calibri" w:hAnsi="Arial Rounded MT Bold" w:cs="BookAntiqua"/>
          <w:sz w:val="28"/>
          <w:szCs w:val="28"/>
        </w:rPr>
        <w:t xml:space="preserve"> and tissue repair.</w:t>
      </w: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r w:rsidRPr="001A4107">
        <w:rPr>
          <w:rFonts w:ascii="Arial Rounded MT Bold" w:eastAsia="Calibri" w:hAnsi="Arial Rounded MT Bold" w:cs="Arial"/>
          <w:noProof/>
        </w:rPr>
        <w:drawing>
          <wp:inline distT="0" distB="0" distL="0" distR="0" wp14:anchorId="75356B3B" wp14:editId="1D5FA4CE">
            <wp:extent cx="3448050" cy="389572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l="25090" t="25041" r="41808" b="8363"/>
                    <a:stretch>
                      <a:fillRect/>
                    </a:stretch>
                  </pic:blipFill>
                  <pic:spPr bwMode="auto">
                    <a:xfrm>
                      <a:off x="0" y="0"/>
                      <a:ext cx="3448050" cy="3895725"/>
                    </a:xfrm>
                    <a:prstGeom prst="rect">
                      <a:avLst/>
                    </a:prstGeom>
                    <a:noFill/>
                    <a:ln>
                      <a:noFill/>
                    </a:ln>
                  </pic:spPr>
                </pic:pic>
              </a:graphicData>
            </a:graphic>
          </wp:inline>
        </w:drawing>
      </w: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right="-476"/>
        <w:jc w:val="center"/>
        <w:rPr>
          <w:rFonts w:ascii="Arial Rounded MT Bold" w:eastAsia="Calibri" w:hAnsi="Arial Rounded MT Bold" w:cs="BookAntiqua"/>
          <w:sz w:val="28"/>
          <w:szCs w:val="28"/>
        </w:rPr>
      </w:pPr>
      <w:r w:rsidRPr="001A4107">
        <w:rPr>
          <w:rFonts w:ascii="Arial Rounded MT Bold" w:eastAsia="Calibri" w:hAnsi="Arial Rounded MT Bold" w:cs="Arial"/>
          <w:noProof/>
        </w:rPr>
        <w:lastRenderedPageBreak/>
        <w:drawing>
          <wp:inline distT="0" distB="0" distL="0" distR="0" wp14:anchorId="79423BBD" wp14:editId="7CFAB7BE">
            <wp:extent cx="3457575" cy="37909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extLst>
                        <a:ext uri="{28A0092B-C50C-407E-A947-70E740481C1C}">
                          <a14:useLocalDpi xmlns:a14="http://schemas.microsoft.com/office/drawing/2010/main" val="0"/>
                        </a:ext>
                      </a:extLst>
                    </a:blip>
                    <a:srcRect l="26534" t="17203" r="41998" b="21497"/>
                    <a:stretch>
                      <a:fillRect/>
                    </a:stretch>
                  </pic:blipFill>
                  <pic:spPr bwMode="auto">
                    <a:xfrm>
                      <a:off x="0" y="0"/>
                      <a:ext cx="3457575" cy="3790950"/>
                    </a:xfrm>
                    <a:prstGeom prst="rect">
                      <a:avLst/>
                    </a:prstGeom>
                    <a:noFill/>
                    <a:ln>
                      <a:noFill/>
                    </a:ln>
                  </pic:spPr>
                </pic:pic>
              </a:graphicData>
            </a:graphic>
          </wp:inline>
        </w:drawing>
      </w:r>
    </w:p>
    <w:p w:rsidR="001A4107" w:rsidRPr="001A4107" w:rsidRDefault="001A4107" w:rsidP="001A4107">
      <w:pPr>
        <w:autoSpaceDE w:val="0"/>
        <w:autoSpaceDN w:val="0"/>
        <w:bidi w:val="0"/>
        <w:adjustRightInd w:val="0"/>
        <w:spacing w:after="0" w:line="240" w:lineRule="auto"/>
        <w:ind w:left="-567" w:right="-759"/>
        <w:jc w:val="center"/>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Fig. Normal hemostasis.</w:t>
      </w:r>
    </w:p>
    <w:p w:rsidR="001A4107" w:rsidRPr="001A4107" w:rsidRDefault="001A4107" w:rsidP="001A4107">
      <w:pPr>
        <w:autoSpaceDE w:val="0"/>
        <w:autoSpaceDN w:val="0"/>
        <w:bidi w:val="0"/>
        <w:adjustRightInd w:val="0"/>
        <w:spacing w:after="0" w:line="240" w:lineRule="auto"/>
        <w:jc w:val="both"/>
        <w:rPr>
          <w:rFonts w:ascii="Arial Rounded MT Bold" w:eastAsia="Calibri" w:hAnsi="Arial Rounded MT Bold" w:cs="GillSans"/>
          <w:color w:val="000000"/>
          <w:sz w:val="28"/>
          <w:szCs w:val="28"/>
        </w:rPr>
      </w:pPr>
    </w:p>
    <w:p w:rsidR="001A4107" w:rsidRPr="001A4107" w:rsidRDefault="001A4107" w:rsidP="001A4107">
      <w:pPr>
        <w:autoSpaceDE w:val="0"/>
        <w:autoSpaceDN w:val="0"/>
        <w:bidi w:val="0"/>
        <w:adjustRightInd w:val="0"/>
        <w:spacing w:after="0" w:line="240" w:lineRule="auto"/>
        <w:jc w:val="both"/>
        <w:rPr>
          <w:rFonts w:ascii="Arial Rounded MT Bold" w:eastAsia="Calibri" w:hAnsi="Arial Rounded MT Bold" w:cs="GillSans"/>
          <w:color w:val="000000"/>
          <w:sz w:val="28"/>
          <w:szCs w:val="28"/>
        </w:rPr>
      </w:pPr>
    </w:p>
    <w:p w:rsidR="001A4107" w:rsidRPr="001A4107" w:rsidRDefault="001A4107" w:rsidP="001A4107">
      <w:pPr>
        <w:autoSpaceDE w:val="0"/>
        <w:autoSpaceDN w:val="0"/>
        <w:bidi w:val="0"/>
        <w:adjustRightInd w:val="0"/>
        <w:spacing w:after="0" w:line="240" w:lineRule="auto"/>
        <w:ind w:left="-567"/>
        <w:jc w:val="center"/>
        <w:rPr>
          <w:rFonts w:ascii="Arial Rounded MT Bold" w:eastAsia="Calibri" w:hAnsi="Arial Rounded MT Bold" w:cs="GillSans"/>
          <w:color w:val="000000"/>
          <w:sz w:val="28"/>
          <w:szCs w:val="28"/>
        </w:rPr>
      </w:pPr>
      <w:r w:rsidRPr="001A4107">
        <w:rPr>
          <w:rFonts w:ascii="Arial Rounded MT Bold" w:eastAsia="Calibri" w:hAnsi="Arial Rounded MT Bold" w:cs="Arial"/>
          <w:noProof/>
        </w:rPr>
        <w:drawing>
          <wp:inline distT="0" distB="0" distL="0" distR="0" wp14:anchorId="3967FE6B" wp14:editId="6598153A">
            <wp:extent cx="6181725" cy="3028950"/>
            <wp:effectExtent l="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extLst>
                        <a:ext uri="{28A0092B-C50C-407E-A947-70E740481C1C}">
                          <a14:useLocalDpi xmlns:a14="http://schemas.microsoft.com/office/drawing/2010/main" val="0"/>
                        </a:ext>
                      </a:extLst>
                    </a:blip>
                    <a:srcRect l="29784" t="23756" r="14867" b="27988"/>
                    <a:stretch>
                      <a:fillRect/>
                    </a:stretch>
                  </pic:blipFill>
                  <pic:spPr bwMode="auto">
                    <a:xfrm>
                      <a:off x="0" y="0"/>
                      <a:ext cx="6181725" cy="3028950"/>
                    </a:xfrm>
                    <a:prstGeom prst="rect">
                      <a:avLst/>
                    </a:prstGeom>
                    <a:noFill/>
                    <a:ln>
                      <a:noFill/>
                    </a:ln>
                  </pic:spPr>
                </pic:pic>
              </a:graphicData>
            </a:graphic>
          </wp:inline>
        </w:drawing>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b/>
          <w:bCs/>
          <w:color w:val="00B0F0"/>
          <w:sz w:val="24"/>
          <w:szCs w:val="24"/>
        </w:rPr>
      </w:pPr>
      <w:r w:rsidRPr="001A4107">
        <w:rPr>
          <w:rFonts w:ascii="Arial Rounded MT Bold" w:eastAsia="Calibri" w:hAnsi="Arial Rounded MT Bold" w:cs="BookAntiqua"/>
          <w:b/>
          <w:bCs/>
          <w:color w:val="00B0F0"/>
          <w:sz w:val="24"/>
          <w:szCs w:val="24"/>
        </w:rPr>
        <w:t>Fig. The coagulation cascade in the laboratory and in vivo. (A) Clotting is initiated in the laboratory by adding phospholipids, calcium, and either a negative-charged substance such as glass beads (intrinsic pathway) or a source of tissue factor (extrinsic pathway). (B) In vivo, tissue factor is the major initiator of coagulation, which is amplified by feedback loops involving thrombin (dotted lines). The red polypeptides are inactive factors, the dark green polypeptides are active factors, whereas the light green polypeptides correspond to cofactors.</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b/>
          <w:bCs/>
          <w:color w:val="00B0F0"/>
          <w:sz w:val="24"/>
          <w:szCs w:val="24"/>
        </w:rPr>
      </w:pP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GillSans"/>
          <w:b/>
          <w:bCs/>
          <w:color w:val="000000"/>
          <w:sz w:val="36"/>
          <w:szCs w:val="36"/>
        </w:rPr>
      </w:pPr>
      <w:r w:rsidRPr="001A4107">
        <w:rPr>
          <w:rFonts w:ascii="Arial Rounded MT Bold" w:eastAsia="Calibri" w:hAnsi="Arial Rounded MT Bold" w:cs="GillSans"/>
          <w:b/>
          <w:bCs/>
          <w:color w:val="000000"/>
          <w:sz w:val="36"/>
          <w:szCs w:val="36"/>
          <w:highlight w:val="yellow"/>
        </w:rPr>
        <w:lastRenderedPageBreak/>
        <w:t>Thrombosis</w:t>
      </w: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Times New Roman" w:hAnsi="Arial Rounded MT Bold" w:cs="ArialMT"/>
          <w:sz w:val="28"/>
          <w:szCs w:val="28"/>
        </w:rPr>
      </w:pPr>
      <w:r w:rsidRPr="001A4107">
        <w:rPr>
          <w:rFonts w:ascii="Arial Rounded MT Bold" w:eastAsia="Times New Roman" w:hAnsi="Arial Rounded MT Bold" w:cs="ArialMT"/>
          <w:sz w:val="28"/>
          <w:szCs w:val="28"/>
        </w:rPr>
        <w:t>The pathologic counterpart of hemostasis is thrombosis, the formation of blood clot (thrombus) within non-traumatized, intact vessels.</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The primary abnormalities that lead to intravascular thrombosis are:</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(1) endothelial injury, </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(2) stasis or turbulent blood flow, and</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(3) hypercoagulability of the blood</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(the so-called “Virchow triad”).</w:t>
      </w:r>
    </w:p>
    <w:p w:rsidR="001A4107" w:rsidRPr="001A4107" w:rsidRDefault="001A4107" w:rsidP="001A4107">
      <w:pPr>
        <w:autoSpaceDE w:val="0"/>
        <w:autoSpaceDN w:val="0"/>
        <w:bidi w:val="0"/>
        <w:adjustRightInd w:val="0"/>
        <w:spacing w:after="0" w:line="240" w:lineRule="auto"/>
        <w:ind w:left="-567"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Thrombosis underlies the most serious and common forms of cardiovascular disease.</w:t>
      </w:r>
    </w:p>
    <w:p w:rsidR="001A4107" w:rsidRPr="001A4107" w:rsidRDefault="001A4107" w:rsidP="001A4107">
      <w:pPr>
        <w:autoSpaceDE w:val="0"/>
        <w:autoSpaceDN w:val="0"/>
        <w:bidi w:val="0"/>
        <w:adjustRightInd w:val="0"/>
        <w:spacing w:after="0" w:line="240" w:lineRule="auto"/>
        <w:jc w:val="center"/>
        <w:rPr>
          <w:rFonts w:ascii="Arial Rounded MT Bold" w:eastAsia="Calibri" w:hAnsi="Arial Rounded MT Bold" w:cs="GillSans"/>
          <w:color w:val="000000"/>
          <w:sz w:val="28"/>
          <w:szCs w:val="28"/>
        </w:rPr>
      </w:pPr>
      <w:r w:rsidRPr="001A4107">
        <w:rPr>
          <w:rFonts w:ascii="Arial Rounded MT Bold" w:eastAsia="Calibri" w:hAnsi="Arial Rounded MT Bold" w:cs="GillSans"/>
          <w:noProof/>
          <w:color w:val="000000"/>
          <w:sz w:val="28"/>
          <w:szCs w:val="28"/>
        </w:rPr>
        <w:drawing>
          <wp:inline distT="0" distB="0" distL="0" distR="0" wp14:anchorId="1673416B" wp14:editId="5EA15633">
            <wp:extent cx="3038475" cy="2181225"/>
            <wp:effectExtent l="0" t="0" r="9525" b="9525"/>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181225"/>
                    </a:xfrm>
                    <a:prstGeom prst="rect">
                      <a:avLst/>
                    </a:prstGeom>
                    <a:noFill/>
                    <a:ln>
                      <a:noFill/>
                    </a:ln>
                  </pic:spPr>
                </pic:pic>
              </a:graphicData>
            </a:graphic>
          </wp:inline>
        </w:drawing>
      </w:r>
    </w:p>
    <w:p w:rsidR="001A4107" w:rsidRPr="001A4107" w:rsidRDefault="001A4107" w:rsidP="001A4107">
      <w:pPr>
        <w:autoSpaceDE w:val="0"/>
        <w:autoSpaceDN w:val="0"/>
        <w:bidi w:val="0"/>
        <w:adjustRightInd w:val="0"/>
        <w:spacing w:after="0" w:line="240" w:lineRule="auto"/>
        <w:ind w:left="-567" w:right="-759"/>
        <w:rPr>
          <w:rFonts w:ascii="Arial Rounded MT Bold" w:eastAsia="Calibri" w:hAnsi="Arial Rounded MT Bold" w:cs="GillSans"/>
          <w:b/>
          <w:bCs/>
          <w:color w:val="00B0F0"/>
          <w:sz w:val="24"/>
          <w:szCs w:val="24"/>
        </w:rPr>
      </w:pPr>
      <w:r w:rsidRPr="001A4107">
        <w:rPr>
          <w:rFonts w:ascii="Arial Rounded MT Bold" w:eastAsia="Calibri" w:hAnsi="Arial Rounded MT Bold" w:cs="GillSans"/>
          <w:b/>
          <w:bCs/>
          <w:color w:val="00B0F0"/>
          <w:sz w:val="24"/>
          <w:szCs w:val="24"/>
        </w:rPr>
        <w:t xml:space="preserve">Fig. Virchow’s triad in thrombosis. Endothelial integrity is the most important factor. Abnormalities of </w:t>
      </w:r>
      <w:proofErr w:type="spellStart"/>
      <w:r w:rsidRPr="001A4107">
        <w:rPr>
          <w:rFonts w:ascii="Arial Rounded MT Bold" w:eastAsia="Calibri" w:hAnsi="Arial Rounded MT Bold" w:cs="GillSans"/>
          <w:b/>
          <w:bCs/>
          <w:color w:val="00B0F0"/>
          <w:sz w:val="24"/>
          <w:szCs w:val="24"/>
        </w:rPr>
        <w:t>procoagulants</w:t>
      </w:r>
      <w:proofErr w:type="spellEnd"/>
      <w:r w:rsidRPr="001A4107">
        <w:rPr>
          <w:rFonts w:ascii="Arial Rounded MT Bold" w:eastAsia="Calibri" w:hAnsi="Arial Rounded MT Bold" w:cs="GillSans"/>
          <w:b/>
          <w:bCs/>
          <w:color w:val="00B0F0"/>
          <w:sz w:val="24"/>
          <w:szCs w:val="24"/>
        </w:rPr>
        <w:t xml:space="preserve"> or anti-coagulants can tip the balance in favor of thrombosis. Abnormal blood flow (stasis or turbulence) can lead to hypercoagulability directly and also indirectly through endothelial dysfunction.</w:t>
      </w:r>
    </w:p>
    <w:p w:rsidR="001A4107" w:rsidRPr="001A4107" w:rsidRDefault="001A4107" w:rsidP="001A4107">
      <w:pPr>
        <w:autoSpaceDE w:val="0"/>
        <w:autoSpaceDN w:val="0"/>
        <w:bidi w:val="0"/>
        <w:adjustRightInd w:val="0"/>
        <w:spacing w:after="0" w:line="240" w:lineRule="auto"/>
        <w:rPr>
          <w:rFonts w:ascii="Arial Rounded MT Bold" w:eastAsia="Calibri" w:hAnsi="Arial Rounded MT Bold" w:cs="GillSans"/>
          <w:b/>
          <w:bCs/>
          <w:i/>
          <w:iCs/>
          <w:color w:val="000000"/>
          <w:sz w:val="32"/>
          <w:szCs w:val="32"/>
        </w:rPr>
      </w:pP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GillSans"/>
          <w:color w:val="000000"/>
          <w:sz w:val="32"/>
          <w:szCs w:val="32"/>
        </w:rPr>
      </w:pPr>
      <w:r w:rsidRPr="001A4107">
        <w:rPr>
          <w:rFonts w:ascii="Arial Rounded MT Bold" w:eastAsia="Calibri" w:hAnsi="Arial Rounded MT Bold" w:cs="GillSans"/>
          <w:color w:val="000000"/>
          <w:sz w:val="32"/>
          <w:szCs w:val="32"/>
          <w:highlight w:val="green"/>
        </w:rPr>
        <w:t>Endothelial injury</w:t>
      </w:r>
    </w:p>
    <w:p w:rsidR="001A4107" w:rsidRPr="001A4107" w:rsidRDefault="001A4107" w:rsidP="001A4107">
      <w:pPr>
        <w:numPr>
          <w:ilvl w:val="0"/>
          <w:numId w:val="1"/>
        </w:numPr>
        <w:autoSpaceDE w:val="0"/>
        <w:autoSpaceDN w:val="0"/>
        <w:bidi w:val="0"/>
        <w:adjustRightInd w:val="0"/>
        <w:spacing w:after="0" w:line="240" w:lineRule="auto"/>
        <w:ind w:left="-567" w:right="-476" w:hanging="142"/>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Endothelial injury leading to platelet activation. </w:t>
      </w:r>
    </w:p>
    <w:p w:rsidR="001A4107" w:rsidRPr="00183BF7" w:rsidRDefault="001A4107" w:rsidP="00183BF7">
      <w:pPr>
        <w:numPr>
          <w:ilvl w:val="0"/>
          <w:numId w:val="1"/>
        </w:numPr>
        <w:autoSpaceDE w:val="0"/>
        <w:autoSpaceDN w:val="0"/>
        <w:bidi w:val="0"/>
        <w:adjustRightInd w:val="0"/>
        <w:spacing w:after="0" w:line="240" w:lineRule="auto"/>
        <w:ind w:left="-567" w:right="-476" w:hanging="142"/>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underlies thrombus formation in the heart and the arterial circulation, where the high rates of blood flow impede clot formation</w:t>
      </w:r>
      <w:r w:rsidR="004C7EFC">
        <w:rPr>
          <w:rFonts w:ascii="Arial Rounded MT Bold" w:eastAsia="Calibri" w:hAnsi="Arial Rounded MT Bold" w:cs="BookAntiqua"/>
          <w:sz w:val="28"/>
          <w:szCs w:val="28"/>
        </w:rPr>
        <w:t xml:space="preserve"> by preventing platelet adhesion or diluting coagulation factors</w:t>
      </w:r>
      <w:r w:rsidRPr="001A4107">
        <w:rPr>
          <w:rFonts w:ascii="Arial Rounded MT Bold" w:eastAsia="Calibri" w:hAnsi="Arial Rounded MT Bold" w:cs="BookAntiqua"/>
          <w:sz w:val="28"/>
          <w:szCs w:val="28"/>
        </w:rPr>
        <w:t>.</w:t>
      </w:r>
    </w:p>
    <w:p w:rsidR="001A4107" w:rsidRPr="001A4107" w:rsidRDefault="001A4107" w:rsidP="001A4107">
      <w:pPr>
        <w:numPr>
          <w:ilvl w:val="0"/>
          <w:numId w:val="1"/>
        </w:numPr>
        <w:autoSpaceDE w:val="0"/>
        <w:autoSpaceDN w:val="0"/>
        <w:bidi w:val="0"/>
        <w:adjustRightInd w:val="0"/>
        <w:spacing w:after="0" w:line="240" w:lineRule="auto"/>
        <w:ind w:left="-567" w:right="-476" w:hanging="142"/>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severe endothelial injury may trigger thrombosis by exposing VWF and tissue factor.</w:t>
      </w:r>
    </w:p>
    <w:p w:rsidR="001A4107" w:rsidRPr="001A4107" w:rsidRDefault="001A4107" w:rsidP="001A4107">
      <w:pPr>
        <w:numPr>
          <w:ilvl w:val="0"/>
          <w:numId w:val="1"/>
        </w:numPr>
        <w:autoSpaceDE w:val="0"/>
        <w:autoSpaceDN w:val="0"/>
        <w:bidi w:val="0"/>
        <w:adjustRightInd w:val="0"/>
        <w:spacing w:after="200" w:line="276" w:lineRule="auto"/>
        <w:ind w:left="-426" w:right="-476" w:hanging="283"/>
        <w:contextualSpacing/>
        <w:jc w:val="both"/>
        <w:rPr>
          <w:rFonts w:ascii="Arial Rounded MT Bold" w:eastAsia="Calibri" w:hAnsi="Arial Rounded MT Bold" w:cs="BookAntiqua"/>
          <w:sz w:val="28"/>
          <w:szCs w:val="28"/>
          <w:lang w:bidi="ar-IQ"/>
        </w:rPr>
      </w:pPr>
      <w:r w:rsidRPr="001A4107">
        <w:rPr>
          <w:rFonts w:ascii="Arial Rounded MT Bold" w:eastAsia="Calibri" w:hAnsi="Arial Rounded MT Bold" w:cs="BookAntiqua"/>
          <w:sz w:val="28"/>
          <w:szCs w:val="28"/>
        </w:rPr>
        <w:t>Most common examples are:</w:t>
      </w:r>
    </w:p>
    <w:p w:rsidR="001A4107" w:rsidRPr="001A4107" w:rsidRDefault="001A4107" w:rsidP="001A4107">
      <w:pPr>
        <w:autoSpaceDE w:val="0"/>
        <w:autoSpaceDN w:val="0"/>
        <w:bidi w:val="0"/>
        <w:adjustRightInd w:val="0"/>
        <w:spacing w:after="200" w:line="276" w:lineRule="auto"/>
        <w:ind w:left="-426" w:right="-476"/>
        <w:contextualSpacing/>
        <w:jc w:val="both"/>
        <w:rPr>
          <w:rFonts w:ascii="Arial Rounded MT Bold" w:eastAsia="Calibri" w:hAnsi="Arial Rounded MT Bold" w:cs="BookAntiqua"/>
          <w:sz w:val="28"/>
          <w:szCs w:val="28"/>
          <w:lang w:bidi="ar-IQ"/>
        </w:rPr>
      </w:pPr>
      <w:r w:rsidRPr="001A4107">
        <w:rPr>
          <w:rFonts w:ascii="Arial Rounded MT Bold" w:eastAsia="Calibri" w:hAnsi="Arial Rounded MT Bold" w:cs="BookAntiqua"/>
          <w:b/>
          <w:bCs/>
          <w:sz w:val="28"/>
          <w:szCs w:val="28"/>
        </w:rPr>
        <w:t xml:space="preserve">    </w:t>
      </w:r>
      <w:r w:rsidRPr="001A4107">
        <w:rPr>
          <w:rFonts w:ascii="Arial Rounded MT Bold" w:eastAsia="Calibri" w:hAnsi="Arial Rounded MT Bold" w:cs="BookAntiqua"/>
          <w:sz w:val="28"/>
          <w:szCs w:val="28"/>
        </w:rPr>
        <w:t>#</w:t>
      </w:r>
      <w:proofErr w:type="spellStart"/>
      <w:r w:rsidRPr="001A4107">
        <w:rPr>
          <w:rFonts w:ascii="Arial Rounded MT Bold" w:eastAsia="Calibri" w:hAnsi="Arial Rounded MT Bold" w:cs="BookAntiqua"/>
          <w:sz w:val="28"/>
          <w:szCs w:val="28"/>
        </w:rPr>
        <w:t>Endocardial</w:t>
      </w:r>
      <w:proofErr w:type="spellEnd"/>
      <w:r w:rsidRPr="001A4107">
        <w:rPr>
          <w:rFonts w:ascii="Arial Rounded MT Bold" w:eastAsia="Calibri" w:hAnsi="Arial Rounded MT Bold" w:cs="BookAntiqua"/>
          <w:sz w:val="28"/>
          <w:szCs w:val="28"/>
        </w:rPr>
        <w:t xml:space="preserve"> injury during myocardial infarction. </w:t>
      </w:r>
    </w:p>
    <w:p w:rsidR="001A4107" w:rsidRDefault="001A4107" w:rsidP="001A4107">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lang w:bidi="ar-IQ"/>
        </w:rPr>
      </w:pPr>
      <w:r w:rsidRPr="001A4107">
        <w:rPr>
          <w:rFonts w:ascii="Arial Rounded MT Bold" w:eastAsia="Calibri" w:hAnsi="Arial Rounded MT Bold" w:cs="BookAntiqua"/>
          <w:sz w:val="28"/>
          <w:szCs w:val="28"/>
        </w:rPr>
        <w:t xml:space="preserve">      #Injury over ulcerated plaque in severely atherosclerotic arteries.</w:t>
      </w:r>
    </w:p>
    <w:p w:rsidR="00183BF7" w:rsidRPr="001A4107" w:rsidRDefault="00183BF7" w:rsidP="00183BF7">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lang w:bidi="ar-IQ"/>
        </w:rPr>
      </w:pPr>
      <w:r>
        <w:rPr>
          <w:rFonts w:ascii="Arial Rounded MT Bold" w:eastAsia="Calibri" w:hAnsi="Arial Rounded MT Bold" w:cs="BookAntiqua"/>
          <w:sz w:val="28"/>
          <w:szCs w:val="28"/>
          <w:lang w:bidi="ar-IQ"/>
        </w:rPr>
        <w:t xml:space="preserve">     #</w:t>
      </w:r>
      <w:proofErr w:type="spellStart"/>
      <w:r>
        <w:rPr>
          <w:rFonts w:ascii="Arial Rounded MT Bold" w:eastAsia="Calibri" w:hAnsi="Arial Rounded MT Bold" w:cs="BookAntiqua"/>
          <w:sz w:val="28"/>
          <w:szCs w:val="28"/>
          <w:lang w:bidi="ar-IQ"/>
        </w:rPr>
        <w:t>vasculitis</w:t>
      </w:r>
      <w:proofErr w:type="spellEnd"/>
      <w:r>
        <w:rPr>
          <w:rFonts w:ascii="Arial Rounded MT Bold" w:eastAsia="Calibri" w:hAnsi="Arial Rounded MT Bold" w:cs="BookAntiqua"/>
          <w:sz w:val="28"/>
          <w:szCs w:val="28"/>
          <w:lang w:bidi="ar-IQ"/>
        </w:rPr>
        <w:t>.</w:t>
      </w: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Calibri" w:hAnsi="Arial Rounded MT Bold" w:cs="BookAntiqua"/>
          <w:sz w:val="28"/>
          <w:szCs w:val="28"/>
          <w:lang w:bidi="ar-IQ"/>
        </w:rPr>
      </w:pPr>
    </w:p>
    <w:p w:rsidR="001A4107" w:rsidRPr="001A4107" w:rsidRDefault="001A4107" w:rsidP="001A4107">
      <w:pPr>
        <w:autoSpaceDE w:val="0"/>
        <w:autoSpaceDN w:val="0"/>
        <w:bidi w:val="0"/>
        <w:adjustRightInd w:val="0"/>
        <w:spacing w:after="0" w:line="240" w:lineRule="auto"/>
        <w:ind w:left="-567" w:right="-476"/>
        <w:jc w:val="both"/>
        <w:rPr>
          <w:rFonts w:ascii="Arial Rounded MT Bold" w:eastAsia="Calibri" w:hAnsi="Arial Rounded MT Bold" w:cs="GillSans"/>
          <w:b/>
          <w:bCs/>
          <w:color w:val="000000"/>
          <w:sz w:val="32"/>
          <w:szCs w:val="32"/>
          <w:rtl/>
        </w:rPr>
      </w:pPr>
      <w:r w:rsidRPr="001A4107">
        <w:rPr>
          <w:rFonts w:ascii="Arial Rounded MT Bold" w:eastAsia="Calibri" w:hAnsi="Arial Rounded MT Bold" w:cs="GillSans"/>
          <w:b/>
          <w:bCs/>
          <w:color w:val="000000"/>
          <w:sz w:val="32"/>
          <w:szCs w:val="32"/>
          <w:highlight w:val="green"/>
        </w:rPr>
        <w:t>Abnormal Blood Flow</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GillSans"/>
          <w:b/>
          <w:bCs/>
          <w:color w:val="FF0000"/>
          <w:sz w:val="28"/>
          <w:szCs w:val="28"/>
        </w:rPr>
        <w:t>Turbulence</w:t>
      </w:r>
      <w:r w:rsidRPr="001A4107">
        <w:rPr>
          <w:rFonts w:ascii="Arial Rounded MT Bold" w:eastAsia="Calibri" w:hAnsi="Arial Rounded MT Bold" w:cs="GillSans"/>
          <w:color w:val="000000"/>
          <w:sz w:val="28"/>
          <w:szCs w:val="28"/>
        </w:rPr>
        <w:t xml:space="preserve"> (</w:t>
      </w:r>
      <w:r w:rsidRPr="001A4107">
        <w:rPr>
          <w:rFonts w:ascii="Arial Rounded MT Bold" w:eastAsia="Calibri" w:hAnsi="Arial Rounded MT Bold" w:cs="BookAntiqua"/>
          <w:sz w:val="28"/>
          <w:szCs w:val="28"/>
        </w:rPr>
        <w:t xml:space="preserve">chaotic blood flow) contributes to arterial and cardiac thrombosis by causing endothelial injury or dysfunction, </w:t>
      </w:r>
      <w:r w:rsidRPr="001A4107">
        <w:rPr>
          <w:rFonts w:ascii="Arial Rounded MT Bold" w:eastAsia="Calibri" w:hAnsi="Arial Rounded MT Bold" w:cs="BookAntiqua"/>
          <w:sz w:val="28"/>
          <w:szCs w:val="28"/>
        </w:rPr>
        <w:lastRenderedPageBreak/>
        <w:t xml:space="preserve">as well as by forming countercurrents and local pockets of stasis. </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b/>
          <w:bCs/>
          <w:color w:val="FF0000"/>
          <w:sz w:val="28"/>
          <w:szCs w:val="28"/>
        </w:rPr>
        <w:t>Stasis</w:t>
      </w:r>
      <w:r w:rsidRPr="001A4107">
        <w:rPr>
          <w:rFonts w:ascii="Arial Rounded MT Bold" w:eastAsia="Calibri" w:hAnsi="Arial Rounded MT Bold" w:cs="BookAntiqua"/>
          <w:b/>
          <w:bCs/>
          <w:color w:val="00B050"/>
          <w:sz w:val="28"/>
          <w:szCs w:val="28"/>
        </w:rPr>
        <w:t xml:space="preserve"> </w:t>
      </w:r>
      <w:r w:rsidRPr="001A4107">
        <w:rPr>
          <w:rFonts w:ascii="Arial Rounded MT Bold" w:eastAsia="Calibri" w:hAnsi="Arial Rounded MT Bold" w:cs="BookAntiqua"/>
          <w:sz w:val="28"/>
          <w:szCs w:val="28"/>
        </w:rPr>
        <w:t>is a major factor in the development of venous thrombi.</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Under conditions of normal laminar blood flow, platelets (and other blood cells) are found mainly in the center of the vessel lumen, separated from the endothelium by a slower-moving layer of plasma.</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By contrast, stasis and turbulence have the following deleterious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effects: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Both promote endothelial cell activation and enhanced </w:t>
      </w:r>
      <w:proofErr w:type="spellStart"/>
      <w:r w:rsidRPr="001A4107">
        <w:rPr>
          <w:rFonts w:ascii="Arial Rounded MT Bold" w:eastAsia="Calibri" w:hAnsi="Arial Rounded MT Bold" w:cs="BookAntiqua"/>
          <w:sz w:val="28"/>
          <w:szCs w:val="28"/>
        </w:rPr>
        <w:t>procoagulant</w:t>
      </w:r>
      <w:proofErr w:type="spellEnd"/>
      <w:r w:rsidRPr="001A4107">
        <w:rPr>
          <w:rFonts w:ascii="Arial Rounded MT Bold" w:eastAsia="Calibri" w:hAnsi="Arial Rounded MT Bold" w:cs="BookAntiqua"/>
          <w:sz w:val="28"/>
          <w:szCs w:val="28"/>
        </w:rPr>
        <w:t xml:space="preserve"> activity.</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Stasis allows platelets and leukocytes to come into contact with the endothelium when the flow is sluggish.</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Stasis also slows the washout of activated clotting factors and impedes the inflow of clotting factor inhibitors.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GillSans"/>
          <w:color w:val="000000"/>
          <w:sz w:val="32"/>
          <w:szCs w:val="32"/>
        </w:rPr>
      </w:pPr>
      <w:r w:rsidRPr="001A4107">
        <w:rPr>
          <w:rFonts w:ascii="Arial Rounded MT Bold" w:eastAsia="Calibri" w:hAnsi="Arial Rounded MT Bold" w:cs="GillSans"/>
          <w:b/>
          <w:bCs/>
          <w:color w:val="00B050"/>
          <w:sz w:val="32"/>
          <w:szCs w:val="32"/>
        </w:rPr>
        <w:t>Turbulent and static blood flow contributes to thrombosis in a number of clinical settings.</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color w:val="FF0000"/>
          <w:sz w:val="28"/>
          <w:szCs w:val="28"/>
        </w:rPr>
        <w:t xml:space="preserve">Ulcerated atherosclerotic plaques </w:t>
      </w:r>
      <w:r w:rsidRPr="001A4107">
        <w:rPr>
          <w:rFonts w:ascii="Arial Rounded MT Bold" w:eastAsia="Calibri" w:hAnsi="Arial Rounded MT Bold" w:cs="BookAntiqua"/>
          <w:sz w:val="28"/>
          <w:szCs w:val="28"/>
        </w:rPr>
        <w:t xml:space="preserve">not only expose </w:t>
      </w:r>
      <w:proofErr w:type="spellStart"/>
      <w:r w:rsidRPr="001A4107">
        <w:rPr>
          <w:rFonts w:ascii="Arial Rounded MT Bold" w:eastAsia="Calibri" w:hAnsi="Arial Rounded MT Bold" w:cs="BookAntiqua"/>
          <w:sz w:val="28"/>
          <w:szCs w:val="28"/>
        </w:rPr>
        <w:t>subendothelial</w:t>
      </w:r>
      <w:proofErr w:type="spellEnd"/>
      <w:r w:rsidRPr="001A4107">
        <w:rPr>
          <w:rFonts w:ascii="Arial Rounded MT Bold" w:eastAsia="Calibri" w:hAnsi="Arial Rounded MT Bold" w:cs="BookAntiqua"/>
          <w:sz w:val="28"/>
          <w:szCs w:val="28"/>
        </w:rPr>
        <w:t xml:space="preserve"> ECM but also cause turbulence. </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color w:val="FF0000"/>
          <w:sz w:val="28"/>
          <w:szCs w:val="28"/>
        </w:rPr>
        <w:t xml:space="preserve">Abnormal aortic and arterial dilations called aneurysms </w:t>
      </w:r>
      <w:r w:rsidRPr="001A4107">
        <w:rPr>
          <w:rFonts w:ascii="Arial Rounded MT Bold" w:eastAsia="Calibri" w:hAnsi="Arial Rounded MT Bold" w:cs="BookAntiqua"/>
          <w:sz w:val="28"/>
          <w:szCs w:val="28"/>
        </w:rPr>
        <w:t>create local stasis and consequently are fertile sites for thrombosis .</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color w:val="FF0000"/>
          <w:sz w:val="28"/>
          <w:szCs w:val="28"/>
        </w:rPr>
        <w:t xml:space="preserve"> Acute myocardial infarction </w:t>
      </w:r>
      <w:r w:rsidRPr="001A4107">
        <w:rPr>
          <w:rFonts w:ascii="Arial Rounded MT Bold" w:eastAsia="Calibri" w:hAnsi="Arial Rounded MT Bold" w:cs="BookAntiqua"/>
          <w:sz w:val="28"/>
          <w:szCs w:val="28"/>
        </w:rPr>
        <w:t xml:space="preserve">results in focally </w:t>
      </w:r>
      <w:proofErr w:type="spellStart"/>
      <w:r w:rsidRPr="001A4107">
        <w:rPr>
          <w:rFonts w:ascii="Arial Rounded MT Bold" w:eastAsia="Calibri" w:hAnsi="Arial Rounded MT Bold" w:cs="BookAntiqua"/>
          <w:sz w:val="28"/>
          <w:szCs w:val="28"/>
        </w:rPr>
        <w:t>noncontractile</w:t>
      </w:r>
      <w:proofErr w:type="spellEnd"/>
      <w:r w:rsidRPr="001A4107">
        <w:rPr>
          <w:rFonts w:ascii="Arial Rounded MT Bold" w:eastAsia="Calibri" w:hAnsi="Arial Rounded MT Bold" w:cs="BookAntiqua"/>
          <w:sz w:val="28"/>
          <w:szCs w:val="28"/>
        </w:rPr>
        <w:t xml:space="preserve"> myocardium. Ventricular remodeling after more remote infarction can lead to aneurysm formation. In both cases, cardiac mural thrombi are more easily formed because of the local blood stasis.</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w:t>
      </w:r>
      <w:r w:rsidRPr="001A4107">
        <w:rPr>
          <w:rFonts w:ascii="Arial Rounded MT Bold" w:eastAsia="Calibri" w:hAnsi="Arial Rounded MT Bold" w:cs="BookAntiqua"/>
          <w:color w:val="FF0000"/>
          <w:sz w:val="28"/>
          <w:szCs w:val="28"/>
        </w:rPr>
        <w:t xml:space="preserve">Mitral valve stenosis </w:t>
      </w:r>
      <w:r w:rsidRPr="001A4107">
        <w:rPr>
          <w:rFonts w:ascii="Arial Rounded MT Bold" w:eastAsia="Calibri" w:hAnsi="Arial Rounded MT Bold" w:cs="BookAntiqua"/>
          <w:sz w:val="28"/>
          <w:szCs w:val="28"/>
        </w:rPr>
        <w:t>(e.g., after rheumatic heart disease) results in left atrial dilation. In conjunction with atrial fibrillation, a dilated atrium also produces stasis and is a prime location for the development of thrombi.</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w:t>
      </w:r>
      <w:proofErr w:type="spellStart"/>
      <w:r w:rsidRPr="001A4107">
        <w:rPr>
          <w:rFonts w:ascii="Arial Rounded MT Bold" w:eastAsia="Calibri" w:hAnsi="Arial Rounded MT Bold" w:cs="BookAntiqua"/>
          <w:color w:val="FF0000"/>
          <w:sz w:val="28"/>
          <w:szCs w:val="28"/>
        </w:rPr>
        <w:t>Hyperviscosity</w:t>
      </w:r>
      <w:proofErr w:type="spellEnd"/>
      <w:r w:rsidRPr="001A4107">
        <w:rPr>
          <w:rFonts w:ascii="Arial Rounded MT Bold" w:eastAsia="Calibri" w:hAnsi="Arial Rounded MT Bold" w:cs="BookAntiqua"/>
          <w:color w:val="FF0000"/>
          <w:sz w:val="28"/>
          <w:szCs w:val="28"/>
        </w:rPr>
        <w:t xml:space="preserve"> syndromes </w:t>
      </w:r>
      <w:r w:rsidRPr="001A4107">
        <w:rPr>
          <w:rFonts w:ascii="Arial Rounded MT Bold" w:eastAsia="Calibri" w:hAnsi="Arial Rounded MT Bold" w:cs="BookAntiqua"/>
          <w:sz w:val="28"/>
          <w:szCs w:val="28"/>
        </w:rPr>
        <w:t xml:space="preserve">(such as polycythemia </w:t>
      </w:r>
      <w:proofErr w:type="spellStart"/>
      <w:r w:rsidRPr="001A4107">
        <w:rPr>
          <w:rFonts w:ascii="Arial Rounded MT Bold" w:eastAsia="Calibri" w:hAnsi="Arial Rounded MT Bold" w:cs="BookAntiqua"/>
          <w:sz w:val="28"/>
          <w:szCs w:val="28"/>
        </w:rPr>
        <w:t>vera</w:t>
      </w:r>
      <w:proofErr w:type="spellEnd"/>
      <w:r w:rsidRPr="001A4107">
        <w:rPr>
          <w:rFonts w:ascii="Arial Rounded MT Bold" w:eastAsia="Calibri" w:hAnsi="Arial Rounded MT Bold" w:cs="BookAntiqua"/>
          <w:sz w:val="28"/>
          <w:szCs w:val="28"/>
        </w:rPr>
        <w:t>,) increase resistance to flow and cause small vessel stasis;</w:t>
      </w:r>
    </w:p>
    <w:p w:rsidR="001A4107" w:rsidRPr="001A4107" w:rsidRDefault="001A4107" w:rsidP="001A4107">
      <w:pPr>
        <w:numPr>
          <w:ilvl w:val="0"/>
          <w:numId w:val="2"/>
        </w:numPr>
        <w:autoSpaceDE w:val="0"/>
        <w:autoSpaceDN w:val="0"/>
        <w:bidi w:val="0"/>
        <w:adjustRightInd w:val="0"/>
        <w:spacing w:after="0" w:line="240" w:lineRule="auto"/>
        <w:ind w:left="-284" w:hanging="283"/>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w:t>
      </w:r>
      <w:r w:rsidRPr="001A4107">
        <w:rPr>
          <w:rFonts w:ascii="Arial Rounded MT Bold" w:eastAsia="Calibri" w:hAnsi="Arial Rounded MT Bold" w:cs="BookAntiqua"/>
          <w:color w:val="FF0000"/>
          <w:sz w:val="28"/>
          <w:szCs w:val="28"/>
        </w:rPr>
        <w:t xml:space="preserve">sickle cell anemia </w:t>
      </w:r>
      <w:r w:rsidRPr="001A4107">
        <w:rPr>
          <w:rFonts w:ascii="Arial Rounded MT Bold" w:eastAsia="Calibri" w:hAnsi="Arial Rounded MT Bold" w:cs="BookAntiqua"/>
          <w:sz w:val="28"/>
          <w:szCs w:val="28"/>
        </w:rPr>
        <w:t>the deformed red cells cause vascular occlusions, and the resultant stasis also predisposes to thrombosis.</w:t>
      </w:r>
    </w:p>
    <w:p w:rsidR="001A4107" w:rsidRPr="001A4107" w:rsidRDefault="001A4107" w:rsidP="001A4107">
      <w:pPr>
        <w:autoSpaceDE w:val="0"/>
        <w:autoSpaceDN w:val="0"/>
        <w:bidi w:val="0"/>
        <w:adjustRightInd w:val="0"/>
        <w:spacing w:after="0" w:line="240" w:lineRule="auto"/>
        <w:ind w:left="-284"/>
        <w:contextualSpacing/>
        <w:jc w:val="both"/>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GillSans"/>
          <w:b/>
          <w:bCs/>
          <w:color w:val="000000"/>
          <w:sz w:val="32"/>
          <w:szCs w:val="32"/>
        </w:rPr>
      </w:pPr>
      <w:r w:rsidRPr="001A4107">
        <w:rPr>
          <w:rFonts w:ascii="Arial Rounded MT Bold" w:eastAsia="Calibri" w:hAnsi="Arial Rounded MT Bold" w:cs="GillSans"/>
          <w:b/>
          <w:bCs/>
          <w:color w:val="000000"/>
          <w:sz w:val="32"/>
          <w:szCs w:val="32"/>
          <w:highlight w:val="green"/>
        </w:rPr>
        <w:t>Hypercoagulability</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GillSans"/>
          <w:b/>
          <w:bCs/>
          <w:color w:val="000000"/>
          <w:sz w:val="28"/>
          <w:szCs w:val="28"/>
        </w:rPr>
      </w:pPr>
      <w:r w:rsidRPr="001A4107">
        <w:rPr>
          <w:rFonts w:ascii="Arial Rounded MT Bold" w:eastAsia="Calibri" w:hAnsi="Arial Rounded MT Bold" w:cs="GillSans"/>
          <w:b/>
          <w:bCs/>
          <w:color w:val="000000"/>
          <w:sz w:val="28"/>
          <w:szCs w:val="28"/>
        </w:rPr>
        <w:t>Hypercoagulability refers to an abnormally high tendency of the blood to clot, and is typically caused by alterations in coagulation factors.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GillSans"/>
          <w:b/>
          <w:bCs/>
          <w:color w:val="000000"/>
          <w:sz w:val="28"/>
          <w:szCs w:val="28"/>
        </w:rPr>
      </w:pPr>
      <w:r w:rsidRPr="001A4107">
        <w:rPr>
          <w:rFonts w:ascii="Arial Rounded MT Bold" w:eastAsia="Calibri" w:hAnsi="Arial Rounded MT Bold" w:cs="BookAntiqua"/>
          <w:sz w:val="28"/>
          <w:szCs w:val="28"/>
        </w:rPr>
        <w:t xml:space="preserve">It contributes </w:t>
      </w:r>
      <w:r w:rsidRPr="001A4107">
        <w:rPr>
          <w:rFonts w:ascii="Arial Rounded MT Bold" w:eastAsia="Calibri" w:hAnsi="Arial Rounded MT Bold" w:cs="BookAntiqua"/>
          <w:b/>
          <w:bCs/>
          <w:sz w:val="28"/>
          <w:szCs w:val="28"/>
        </w:rPr>
        <w:t>infrequently</w:t>
      </w:r>
      <w:r w:rsidRPr="001A4107">
        <w:rPr>
          <w:rFonts w:ascii="Arial Rounded MT Bold" w:eastAsia="Calibri" w:hAnsi="Arial Rounded MT Bold" w:cs="GillSans"/>
          <w:b/>
          <w:bCs/>
          <w:color w:val="000000"/>
          <w:sz w:val="28"/>
          <w:szCs w:val="28"/>
        </w:rPr>
        <w:t xml:space="preserve"> </w:t>
      </w:r>
      <w:r w:rsidRPr="001A4107">
        <w:rPr>
          <w:rFonts w:ascii="Arial Rounded MT Bold" w:eastAsia="Calibri" w:hAnsi="Arial Rounded MT Bold" w:cs="BookAntiqua"/>
          <w:sz w:val="28"/>
          <w:szCs w:val="28"/>
        </w:rPr>
        <w:t xml:space="preserve">to arterial or </w:t>
      </w:r>
      <w:proofErr w:type="spellStart"/>
      <w:r w:rsidRPr="001A4107">
        <w:rPr>
          <w:rFonts w:ascii="Arial Rounded MT Bold" w:eastAsia="Calibri" w:hAnsi="Arial Rounded MT Bold" w:cs="BookAntiqua"/>
          <w:sz w:val="28"/>
          <w:szCs w:val="28"/>
        </w:rPr>
        <w:t>intracardiac</w:t>
      </w:r>
      <w:proofErr w:type="spellEnd"/>
      <w:r w:rsidRPr="001A4107">
        <w:rPr>
          <w:rFonts w:ascii="Arial Rounded MT Bold" w:eastAsia="Calibri" w:hAnsi="Arial Rounded MT Bold" w:cs="BookAntiqua"/>
          <w:sz w:val="28"/>
          <w:szCs w:val="28"/>
        </w:rPr>
        <w:t xml:space="preserve"> thrombosis but is an</w:t>
      </w:r>
      <w:r w:rsidRPr="001A4107">
        <w:rPr>
          <w:rFonts w:ascii="Arial Rounded MT Bold" w:eastAsia="Calibri" w:hAnsi="Arial Rounded MT Bold" w:cs="GillSans"/>
          <w:b/>
          <w:bCs/>
          <w:color w:val="000000"/>
          <w:sz w:val="28"/>
          <w:szCs w:val="28"/>
        </w:rPr>
        <w:t xml:space="preserve"> </w:t>
      </w:r>
      <w:r w:rsidRPr="001A4107">
        <w:rPr>
          <w:rFonts w:ascii="Arial Rounded MT Bold" w:eastAsia="Calibri" w:hAnsi="Arial Rounded MT Bold" w:cs="BookAntiqua"/>
          <w:sz w:val="28"/>
          <w:szCs w:val="28"/>
        </w:rPr>
        <w:t>important underlying risk factor for venous thrombosis.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lastRenderedPageBreak/>
        <w:t>The alterations of the coagulation pathways that predispose affected persons to thrombosis can be divided into primary (genetic) and secondary (acquired) disorders.</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b/>
          <w:bCs/>
          <w:color w:val="00B0F0"/>
          <w:sz w:val="28"/>
          <w:szCs w:val="28"/>
        </w:rPr>
      </w:pPr>
      <w:r w:rsidRPr="001A4107">
        <w:rPr>
          <w:rFonts w:ascii="Arial Rounded MT Bold" w:eastAsia="Calibri" w:hAnsi="Arial Rounded MT Bold" w:cs="BookAntiqua"/>
          <w:b/>
          <w:bCs/>
          <w:color w:val="00B0F0"/>
          <w:sz w:val="28"/>
          <w:szCs w:val="28"/>
        </w:rPr>
        <w:t>Primary (Genetic)</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b/>
          <w:bCs/>
          <w:i/>
          <w:iCs/>
          <w:sz w:val="28"/>
          <w:szCs w:val="28"/>
        </w:rPr>
      </w:pPr>
      <w:r w:rsidRPr="001A4107">
        <w:rPr>
          <w:rFonts w:ascii="Arial Rounded MT Bold" w:eastAsia="Calibri" w:hAnsi="Arial Rounded MT Bold" w:cs="BookAntiqua"/>
          <w:b/>
          <w:bCs/>
          <w:i/>
          <w:iCs/>
          <w:sz w:val="28"/>
          <w:szCs w:val="28"/>
        </w:rPr>
        <w:t>Common (&gt;1% of the Population)</w:t>
      </w:r>
    </w:p>
    <w:p w:rsidR="001A4107" w:rsidRPr="001A4107" w:rsidRDefault="001A4107" w:rsidP="001A4107">
      <w:pPr>
        <w:numPr>
          <w:ilvl w:val="0"/>
          <w:numId w:val="3"/>
        </w:numPr>
        <w:autoSpaceDE w:val="0"/>
        <w:autoSpaceDN w:val="0"/>
        <w:bidi w:val="0"/>
        <w:adjustRightInd w:val="0"/>
        <w:spacing w:after="0" w:line="240" w:lineRule="auto"/>
        <w:ind w:left="-284"/>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Factor V mutation </w:t>
      </w:r>
    </w:p>
    <w:p w:rsidR="001A4107" w:rsidRPr="001A4107" w:rsidRDefault="001A4107" w:rsidP="001A4107">
      <w:pPr>
        <w:numPr>
          <w:ilvl w:val="0"/>
          <w:numId w:val="3"/>
        </w:numPr>
        <w:autoSpaceDE w:val="0"/>
        <w:autoSpaceDN w:val="0"/>
        <w:bidi w:val="0"/>
        <w:adjustRightInd w:val="0"/>
        <w:spacing w:after="0" w:line="240" w:lineRule="auto"/>
        <w:ind w:left="-284"/>
        <w:contextualSpacing/>
        <w:jc w:val="both"/>
        <w:rPr>
          <w:rFonts w:ascii="Arial Rounded MT Bold" w:eastAsia="Calibri" w:hAnsi="Arial Rounded MT Bold" w:cs="BookAntiqua"/>
          <w:sz w:val="28"/>
          <w:szCs w:val="28"/>
        </w:rPr>
      </w:pPr>
      <w:proofErr w:type="spellStart"/>
      <w:r w:rsidRPr="001A4107">
        <w:rPr>
          <w:rFonts w:ascii="Arial Rounded MT Bold" w:eastAsia="Calibri" w:hAnsi="Arial Rounded MT Bold" w:cs="BookAntiqua"/>
          <w:sz w:val="28"/>
          <w:szCs w:val="28"/>
        </w:rPr>
        <w:t>Prothrombin</w:t>
      </w:r>
      <w:proofErr w:type="spellEnd"/>
      <w:r w:rsidRPr="001A4107">
        <w:rPr>
          <w:rFonts w:ascii="Arial Rounded MT Bold" w:eastAsia="Calibri" w:hAnsi="Arial Rounded MT Bold" w:cs="BookAntiqua"/>
          <w:sz w:val="28"/>
          <w:szCs w:val="28"/>
        </w:rPr>
        <w:t xml:space="preserve"> mutation </w:t>
      </w:r>
    </w:p>
    <w:p w:rsidR="001A4107" w:rsidRPr="001A4107" w:rsidRDefault="001A4107" w:rsidP="001A4107">
      <w:pPr>
        <w:numPr>
          <w:ilvl w:val="0"/>
          <w:numId w:val="3"/>
        </w:numPr>
        <w:autoSpaceDE w:val="0"/>
        <w:autoSpaceDN w:val="0"/>
        <w:bidi w:val="0"/>
        <w:adjustRightInd w:val="0"/>
        <w:spacing w:after="0" w:line="240" w:lineRule="auto"/>
        <w:ind w:left="-284"/>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Increased levels of factor VIII, IX, or XI or fibrinogen</w:t>
      </w:r>
    </w:p>
    <w:p w:rsidR="001A4107" w:rsidRPr="001A4107" w:rsidRDefault="001A4107" w:rsidP="001A4107">
      <w:pPr>
        <w:autoSpaceDE w:val="0"/>
        <w:autoSpaceDN w:val="0"/>
        <w:bidi w:val="0"/>
        <w:adjustRightInd w:val="0"/>
        <w:spacing w:after="0" w:line="240" w:lineRule="auto"/>
        <w:ind w:left="-567"/>
        <w:rPr>
          <w:rFonts w:ascii="Arial Rounded MT Bold" w:eastAsia="Calibri" w:hAnsi="Arial Rounded MT Bold" w:cs="GillSans-BoldItalic"/>
          <w:b/>
          <w:bCs/>
          <w:i/>
          <w:iCs/>
          <w:sz w:val="28"/>
          <w:szCs w:val="28"/>
        </w:rPr>
      </w:pPr>
      <w:r w:rsidRPr="001A4107">
        <w:rPr>
          <w:rFonts w:ascii="Arial Rounded MT Bold" w:eastAsia="Calibri" w:hAnsi="Arial Rounded MT Bold" w:cs="GillSans-BoldItalic"/>
          <w:b/>
          <w:bCs/>
          <w:i/>
          <w:iCs/>
          <w:sz w:val="28"/>
          <w:szCs w:val="28"/>
        </w:rPr>
        <w:t>Rare</w:t>
      </w:r>
    </w:p>
    <w:p w:rsidR="001A4107" w:rsidRPr="001A4107" w:rsidRDefault="001A4107" w:rsidP="001A4107">
      <w:pPr>
        <w:numPr>
          <w:ilvl w:val="0"/>
          <w:numId w:val="4"/>
        </w:numPr>
        <w:autoSpaceDE w:val="0"/>
        <w:autoSpaceDN w:val="0"/>
        <w:bidi w:val="0"/>
        <w:adjustRightInd w:val="0"/>
        <w:spacing w:after="0" w:line="240" w:lineRule="auto"/>
        <w:ind w:left="-284"/>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Anti-thrombin III deficiency</w:t>
      </w:r>
    </w:p>
    <w:p w:rsidR="001A4107" w:rsidRPr="001A4107" w:rsidRDefault="001A4107" w:rsidP="001A4107">
      <w:pPr>
        <w:numPr>
          <w:ilvl w:val="0"/>
          <w:numId w:val="4"/>
        </w:numPr>
        <w:autoSpaceDE w:val="0"/>
        <w:autoSpaceDN w:val="0"/>
        <w:bidi w:val="0"/>
        <w:adjustRightInd w:val="0"/>
        <w:spacing w:after="0" w:line="240" w:lineRule="auto"/>
        <w:ind w:left="-284"/>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Protein C deficiency</w:t>
      </w:r>
    </w:p>
    <w:p w:rsidR="001A4107" w:rsidRPr="001A4107" w:rsidRDefault="001A4107" w:rsidP="001A4107">
      <w:pPr>
        <w:numPr>
          <w:ilvl w:val="0"/>
          <w:numId w:val="4"/>
        </w:numPr>
        <w:autoSpaceDE w:val="0"/>
        <w:autoSpaceDN w:val="0"/>
        <w:bidi w:val="0"/>
        <w:adjustRightInd w:val="0"/>
        <w:spacing w:after="0" w:line="240" w:lineRule="auto"/>
        <w:ind w:left="-284"/>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Protein S deficiency</w:t>
      </w: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b/>
          <w:bCs/>
          <w:sz w:val="28"/>
          <w:szCs w:val="28"/>
        </w:rPr>
      </w:pPr>
    </w:p>
    <w:p w:rsidR="001A4107" w:rsidRPr="001A4107" w:rsidRDefault="001A4107" w:rsidP="001A4107">
      <w:pPr>
        <w:autoSpaceDE w:val="0"/>
        <w:autoSpaceDN w:val="0"/>
        <w:bidi w:val="0"/>
        <w:adjustRightInd w:val="0"/>
        <w:spacing w:after="0" w:line="240" w:lineRule="auto"/>
        <w:ind w:left="-567"/>
        <w:jc w:val="both"/>
        <w:rPr>
          <w:rFonts w:ascii="Arial Rounded MT Bold" w:eastAsia="Calibri" w:hAnsi="Arial Rounded MT Bold" w:cs="BookAntiqua"/>
          <w:b/>
          <w:bCs/>
          <w:color w:val="00B0F0"/>
          <w:sz w:val="28"/>
          <w:szCs w:val="28"/>
        </w:rPr>
      </w:pPr>
      <w:r w:rsidRPr="001A4107">
        <w:rPr>
          <w:rFonts w:ascii="Arial Rounded MT Bold" w:eastAsia="Calibri" w:hAnsi="Arial Rounded MT Bold" w:cs="BookAntiqua"/>
          <w:b/>
          <w:bCs/>
          <w:color w:val="00B0F0"/>
          <w:sz w:val="28"/>
          <w:szCs w:val="28"/>
        </w:rPr>
        <w:t>Secondary (Acquired)</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Prolonged bed rest or immobilization</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Myocardial infarction</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Atrial fibrillation</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Tissue injury (surgery, fracture, burn)</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Cancer</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Prosthetic cardiac valves</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Disseminated intravascular coagulation</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Heparin-induced thrombocytopenia</w:t>
      </w:r>
    </w:p>
    <w:p w:rsidR="001A4107" w:rsidRPr="001A4107" w:rsidRDefault="001A4107" w:rsidP="001A4107">
      <w:pPr>
        <w:numPr>
          <w:ilvl w:val="0"/>
          <w:numId w:val="3"/>
        </w:numPr>
        <w:autoSpaceDE w:val="0"/>
        <w:autoSpaceDN w:val="0"/>
        <w:bidi w:val="0"/>
        <w:adjustRightInd w:val="0"/>
        <w:spacing w:after="0" w:line="240" w:lineRule="auto"/>
        <w:contextualSpacing/>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Anti-phospholipid antibody syndrome</w:t>
      </w:r>
    </w:p>
    <w:p w:rsidR="001A4107" w:rsidRPr="001A4107" w:rsidRDefault="001A4107" w:rsidP="001A4107">
      <w:pPr>
        <w:autoSpaceDE w:val="0"/>
        <w:autoSpaceDN w:val="0"/>
        <w:bidi w:val="0"/>
        <w:adjustRightInd w:val="0"/>
        <w:spacing w:after="0" w:line="240" w:lineRule="auto"/>
        <w:ind w:left="795"/>
        <w:contextualSpacing/>
        <w:jc w:val="both"/>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426"/>
        <w:jc w:val="both"/>
        <w:rPr>
          <w:rFonts w:ascii="Arial Rounded MT Bold" w:eastAsia="Calibri" w:hAnsi="Arial Rounded MT Bold" w:cs="GillSans"/>
          <w:b/>
          <w:bCs/>
          <w:color w:val="000000"/>
          <w:sz w:val="36"/>
          <w:szCs w:val="36"/>
        </w:rPr>
      </w:pPr>
      <w:r w:rsidRPr="001A4107">
        <w:rPr>
          <w:rFonts w:ascii="Arial Rounded MT Bold" w:eastAsia="Calibri" w:hAnsi="Arial Rounded MT Bold" w:cs="GillSans"/>
          <w:color w:val="000000"/>
          <w:sz w:val="36"/>
          <w:szCs w:val="36"/>
          <w:highlight w:val="yellow"/>
        </w:rPr>
        <w:t>MORPHOLOGY</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Thrombi can develop anywhere in the cardiovascular system. </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b/>
          <w:bCs/>
          <w:color w:val="0070C0"/>
          <w:sz w:val="28"/>
          <w:szCs w:val="28"/>
        </w:rPr>
        <w:t>Arterial or cardiac thrombi</w:t>
      </w:r>
      <w:r w:rsidRPr="001A4107">
        <w:rPr>
          <w:rFonts w:ascii="Arial Rounded MT Bold" w:eastAsia="Calibri" w:hAnsi="Arial Rounded MT Bold" w:cs="BookAntiqua"/>
          <w:color w:val="0070C0"/>
          <w:sz w:val="28"/>
          <w:szCs w:val="28"/>
        </w:rPr>
        <w:t xml:space="preserve"> </w:t>
      </w:r>
      <w:r w:rsidRPr="001A4107">
        <w:rPr>
          <w:rFonts w:ascii="Arial Rounded MT Bold" w:eastAsia="Calibri" w:hAnsi="Arial Rounded MT Bold" w:cs="BookAntiqua"/>
          <w:sz w:val="28"/>
          <w:szCs w:val="28"/>
        </w:rPr>
        <w:t xml:space="preserve">typically arise at sites of endothelial injury or turbulence; </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b/>
          <w:bCs/>
          <w:color w:val="0070C0"/>
          <w:sz w:val="28"/>
          <w:szCs w:val="28"/>
        </w:rPr>
        <w:t>venous thrombi</w:t>
      </w:r>
      <w:r w:rsidRPr="001A4107">
        <w:rPr>
          <w:rFonts w:ascii="Arial Rounded MT Bold" w:eastAsia="Calibri" w:hAnsi="Arial Rounded MT Bold" w:cs="BookAntiqua"/>
          <w:color w:val="0070C0"/>
          <w:sz w:val="28"/>
          <w:szCs w:val="28"/>
        </w:rPr>
        <w:t xml:space="preserve"> </w:t>
      </w:r>
      <w:r w:rsidRPr="001A4107">
        <w:rPr>
          <w:rFonts w:ascii="Arial Rounded MT Bold" w:eastAsia="Calibri" w:hAnsi="Arial Rounded MT Bold" w:cs="BookAntiqua"/>
          <w:sz w:val="28"/>
          <w:szCs w:val="28"/>
        </w:rPr>
        <w:t xml:space="preserve">characteristically occur at sites of stasis. </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Thrombi are </w:t>
      </w:r>
      <w:r w:rsidRPr="001A4107">
        <w:rPr>
          <w:rFonts w:ascii="Arial Rounded MT Bold" w:eastAsia="Calibri" w:hAnsi="Arial Rounded MT Bold" w:cs="BookAntiqua"/>
          <w:b/>
          <w:bCs/>
          <w:color w:val="00B050"/>
          <w:sz w:val="28"/>
          <w:szCs w:val="28"/>
        </w:rPr>
        <w:t>focally attached to the underlying vascular surface</w:t>
      </w:r>
      <w:r w:rsidRPr="001A4107">
        <w:rPr>
          <w:rFonts w:ascii="Arial Rounded MT Bold" w:eastAsia="Calibri" w:hAnsi="Arial Rounded MT Bold" w:cs="BookAntiqua"/>
          <w:color w:val="00B050"/>
          <w:sz w:val="28"/>
          <w:szCs w:val="28"/>
        </w:rPr>
        <w:t xml:space="preserve"> </w:t>
      </w:r>
      <w:r w:rsidRPr="001A4107">
        <w:rPr>
          <w:rFonts w:ascii="Arial Rounded MT Bold" w:eastAsia="Calibri" w:hAnsi="Arial Rounded MT Bold" w:cs="BookAntiqua"/>
          <w:sz w:val="28"/>
          <w:szCs w:val="28"/>
        </w:rPr>
        <w:t xml:space="preserve">and tend to </w:t>
      </w:r>
      <w:r w:rsidRPr="001A4107">
        <w:rPr>
          <w:rFonts w:ascii="Arial Rounded MT Bold" w:eastAsia="Calibri" w:hAnsi="Arial Rounded MT Bold" w:cs="BookAntiqua"/>
          <w:b/>
          <w:bCs/>
          <w:color w:val="00B050"/>
          <w:sz w:val="28"/>
          <w:szCs w:val="28"/>
        </w:rPr>
        <w:t>propagate toward the heart;</w:t>
      </w:r>
      <w:r w:rsidRPr="001A4107">
        <w:rPr>
          <w:rFonts w:ascii="Arial Rounded MT Bold" w:eastAsia="Calibri" w:hAnsi="Arial Rounded MT Bold" w:cs="BookAntiqua"/>
          <w:color w:val="00B050"/>
          <w:sz w:val="28"/>
          <w:szCs w:val="28"/>
        </w:rPr>
        <w:t xml:space="preserve"> </w:t>
      </w:r>
      <w:r w:rsidRPr="001A4107">
        <w:rPr>
          <w:rFonts w:ascii="Arial Rounded MT Bold" w:eastAsia="Calibri" w:hAnsi="Arial Rounded MT Bold" w:cs="BookAntiqua"/>
          <w:sz w:val="28"/>
          <w:szCs w:val="28"/>
        </w:rPr>
        <w:t xml:space="preserve">thus, </w:t>
      </w:r>
      <w:r w:rsidRPr="001A4107">
        <w:rPr>
          <w:rFonts w:ascii="Arial Rounded MT Bold" w:eastAsia="Calibri" w:hAnsi="Arial Rounded MT Bold" w:cs="BookAntiqua"/>
          <w:b/>
          <w:bCs/>
          <w:color w:val="0070C0"/>
          <w:sz w:val="28"/>
          <w:szCs w:val="28"/>
        </w:rPr>
        <w:t>arterial thrombi</w:t>
      </w:r>
      <w:r w:rsidRPr="001A4107">
        <w:rPr>
          <w:rFonts w:ascii="Arial Rounded MT Bold" w:eastAsia="Calibri" w:hAnsi="Arial Rounded MT Bold" w:cs="BookAntiqua"/>
          <w:color w:val="0070C0"/>
          <w:sz w:val="28"/>
          <w:szCs w:val="28"/>
        </w:rPr>
        <w:t xml:space="preserve"> </w:t>
      </w:r>
      <w:r w:rsidRPr="001A4107">
        <w:rPr>
          <w:rFonts w:ascii="Arial Rounded MT Bold" w:eastAsia="Calibri" w:hAnsi="Arial Rounded MT Bold" w:cs="BookAntiqua"/>
          <w:sz w:val="28"/>
          <w:szCs w:val="28"/>
        </w:rPr>
        <w:t xml:space="preserve">grow in a retrograde direction from the point of attachment, whereas </w:t>
      </w:r>
      <w:r w:rsidRPr="001A4107">
        <w:rPr>
          <w:rFonts w:ascii="Arial Rounded MT Bold" w:eastAsia="Calibri" w:hAnsi="Arial Rounded MT Bold" w:cs="BookAntiqua"/>
          <w:b/>
          <w:bCs/>
          <w:color w:val="0070C0"/>
          <w:sz w:val="28"/>
          <w:szCs w:val="28"/>
        </w:rPr>
        <w:t>venous thrombi</w:t>
      </w:r>
      <w:r w:rsidRPr="001A4107">
        <w:rPr>
          <w:rFonts w:ascii="Arial Rounded MT Bold" w:eastAsia="Calibri" w:hAnsi="Arial Rounded MT Bold" w:cs="BookAntiqua"/>
          <w:sz w:val="28"/>
          <w:szCs w:val="28"/>
        </w:rPr>
        <w:t xml:space="preserve"> extend in the direction of blood flow.</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The propagating portion of a thrombus tends to be poorly attached and therefore prone to fragmentation and migration through the blood as an </w:t>
      </w:r>
      <w:r w:rsidRPr="001A4107">
        <w:rPr>
          <w:rFonts w:ascii="Arial Rounded MT Bold" w:eastAsia="Calibri" w:hAnsi="Arial Rounded MT Bold" w:cs="BookAntiqua"/>
          <w:b/>
          <w:bCs/>
          <w:color w:val="00B050"/>
          <w:sz w:val="28"/>
          <w:szCs w:val="28"/>
        </w:rPr>
        <w:t>embolus.</w:t>
      </w:r>
    </w:p>
    <w:p w:rsidR="001A4107" w:rsidRPr="001A4107" w:rsidRDefault="001A4107" w:rsidP="0055557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Thrombi can have grossly (and microscopically) apparent laminations called </w:t>
      </w:r>
      <w:r w:rsidRPr="001A4107">
        <w:rPr>
          <w:rFonts w:ascii="Arial Rounded MT Bold" w:eastAsia="Calibri" w:hAnsi="Arial Rounded MT Bold" w:cs="BookAntiqua"/>
          <w:b/>
          <w:bCs/>
          <w:color w:val="00B050"/>
          <w:sz w:val="28"/>
          <w:szCs w:val="28"/>
        </w:rPr>
        <w:t>lines of Zahn</w:t>
      </w:r>
      <w:r w:rsidRPr="001A4107">
        <w:rPr>
          <w:rFonts w:ascii="Arial Rounded MT Bold" w:eastAsia="Calibri" w:hAnsi="Arial Rounded MT Bold" w:cs="BookAntiqua"/>
          <w:sz w:val="28"/>
          <w:szCs w:val="28"/>
        </w:rPr>
        <w:t xml:space="preserve">; these represent pale platelet and fibrin layers alternating with darker red cell–rich layers. Such lines are significant in that they are only found in thrombi that form in flowing blood; their presence can therefore usually </w:t>
      </w:r>
      <w:r w:rsidRPr="001A4107">
        <w:rPr>
          <w:rFonts w:ascii="Arial Rounded MT Bold" w:eastAsia="Calibri" w:hAnsi="Arial Rounded MT Bold" w:cs="BookAntiqua"/>
          <w:b/>
          <w:bCs/>
          <w:sz w:val="28"/>
          <w:szCs w:val="28"/>
        </w:rPr>
        <w:t xml:space="preserve">distinguish </w:t>
      </w:r>
      <w:proofErr w:type="spellStart"/>
      <w:r w:rsidRPr="001A4107">
        <w:rPr>
          <w:rFonts w:ascii="Arial Rounded MT Bold" w:eastAsia="Calibri" w:hAnsi="Arial Rounded MT Bold" w:cs="BookAntiqua"/>
          <w:b/>
          <w:bCs/>
          <w:sz w:val="28"/>
          <w:szCs w:val="28"/>
        </w:rPr>
        <w:t>antemortem</w:t>
      </w:r>
      <w:proofErr w:type="spellEnd"/>
      <w:r w:rsidRPr="001A4107">
        <w:rPr>
          <w:rFonts w:ascii="Arial Rounded MT Bold" w:eastAsia="Calibri" w:hAnsi="Arial Rounded MT Bold" w:cs="BookAntiqua"/>
          <w:b/>
          <w:bCs/>
          <w:sz w:val="28"/>
          <w:szCs w:val="28"/>
        </w:rPr>
        <w:t xml:space="preserve"> thrombosis</w:t>
      </w:r>
      <w:r w:rsidRPr="001A4107">
        <w:rPr>
          <w:rFonts w:ascii="Arial Rounded MT Bold" w:eastAsia="Calibri" w:hAnsi="Arial Rounded MT Bold" w:cs="BookAntiqua"/>
          <w:sz w:val="28"/>
          <w:szCs w:val="28"/>
        </w:rPr>
        <w:t xml:space="preserve"> from the bland </w:t>
      </w:r>
      <w:proofErr w:type="spellStart"/>
      <w:r w:rsidRPr="001A4107">
        <w:rPr>
          <w:rFonts w:ascii="Arial Rounded MT Bold" w:eastAsia="Calibri" w:hAnsi="Arial Rounded MT Bold" w:cs="BookAntiqua"/>
          <w:sz w:val="28"/>
          <w:szCs w:val="28"/>
        </w:rPr>
        <w:t>nonlaminated</w:t>
      </w:r>
      <w:proofErr w:type="spellEnd"/>
      <w:r w:rsidR="00555577">
        <w:rPr>
          <w:rFonts w:ascii="Arial Rounded MT Bold" w:eastAsia="Calibri" w:hAnsi="Arial Rounded MT Bold" w:cs="BookAntiqua"/>
          <w:sz w:val="28"/>
          <w:szCs w:val="28"/>
        </w:rPr>
        <w:t xml:space="preserve"> </w:t>
      </w:r>
      <w:r w:rsidRPr="001A4107">
        <w:rPr>
          <w:rFonts w:ascii="Arial Rounded MT Bold" w:eastAsia="Calibri" w:hAnsi="Arial Rounded MT Bold" w:cs="BookAntiqua"/>
          <w:sz w:val="28"/>
          <w:szCs w:val="28"/>
        </w:rPr>
        <w:t>clots that form in the postmortem state.</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lastRenderedPageBreak/>
        <w:t xml:space="preserve"> Although thrombi formed in the “low-flow” venous system superficially resemble postmortem clots, careful evaluation generally shows ill-defined laminations.</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Thrombi occurring in heart chambers or in the aortic lumen are designated as </w:t>
      </w:r>
      <w:r w:rsidRPr="001A4107">
        <w:rPr>
          <w:rFonts w:ascii="Arial Rounded MT Bold" w:eastAsia="Calibri" w:hAnsi="Arial Rounded MT Bold" w:cs="BookAntiqua"/>
          <w:b/>
          <w:bCs/>
          <w:color w:val="00B050"/>
          <w:sz w:val="28"/>
          <w:szCs w:val="28"/>
        </w:rPr>
        <w:t>mural thrombi.</w:t>
      </w:r>
      <w:r w:rsidRPr="001A4107">
        <w:rPr>
          <w:rFonts w:ascii="Arial Rounded MT Bold" w:eastAsia="Calibri" w:hAnsi="Arial Rounded MT Bold" w:cs="BookAntiqua"/>
          <w:color w:val="00B050"/>
          <w:sz w:val="28"/>
          <w:szCs w:val="28"/>
        </w:rPr>
        <w:t xml:space="preserve"> </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b/>
          <w:bCs/>
          <w:color w:val="0070C0"/>
          <w:sz w:val="28"/>
          <w:szCs w:val="28"/>
        </w:rPr>
        <w:t>Arterial thrombi</w:t>
      </w:r>
      <w:r w:rsidRPr="001A4107">
        <w:rPr>
          <w:rFonts w:ascii="Arial Rounded MT Bold" w:eastAsia="Calibri" w:hAnsi="Arial Rounded MT Bold" w:cs="BookAntiqua"/>
          <w:color w:val="0070C0"/>
          <w:sz w:val="28"/>
          <w:szCs w:val="28"/>
        </w:rPr>
        <w:t xml:space="preserve"> </w:t>
      </w:r>
      <w:r w:rsidRPr="001A4107">
        <w:rPr>
          <w:rFonts w:ascii="Arial Rounded MT Bold" w:eastAsia="Calibri" w:hAnsi="Arial Rounded MT Bold" w:cs="BookAntiqua"/>
          <w:sz w:val="28"/>
          <w:szCs w:val="28"/>
        </w:rPr>
        <w:t>are frequently occlusive. They are typically rich in platelets, as the processes underlying their development (e.g., endothelial injury) lead to platelet activation. Although usually superimposed on a ruptured atherosclerotic plaque, other vascular injuries (</w:t>
      </w:r>
      <w:proofErr w:type="spellStart"/>
      <w:r w:rsidRPr="001A4107">
        <w:rPr>
          <w:rFonts w:ascii="Arial Rounded MT Bold" w:eastAsia="Calibri" w:hAnsi="Arial Rounded MT Bold" w:cs="BookAntiqua"/>
          <w:sz w:val="28"/>
          <w:szCs w:val="28"/>
        </w:rPr>
        <w:t>vasculitis</w:t>
      </w:r>
      <w:proofErr w:type="spellEnd"/>
      <w:r w:rsidRPr="001A4107">
        <w:rPr>
          <w:rFonts w:ascii="Arial Rounded MT Bold" w:eastAsia="Calibri" w:hAnsi="Arial Rounded MT Bold" w:cs="BookAntiqua"/>
          <w:sz w:val="28"/>
          <w:szCs w:val="28"/>
        </w:rPr>
        <w:t>, trauma) can also be underlying causes.</w:t>
      </w:r>
    </w:p>
    <w:p w:rsidR="001A4107" w:rsidRPr="001A4107" w:rsidRDefault="001A4107" w:rsidP="001A4107">
      <w:pPr>
        <w:autoSpaceDE w:val="0"/>
        <w:autoSpaceDN w:val="0"/>
        <w:bidi w:val="0"/>
        <w:adjustRightInd w:val="0"/>
        <w:spacing w:after="0" w:line="240" w:lineRule="auto"/>
        <w:ind w:left="-426" w:right="-759"/>
        <w:jc w:val="both"/>
        <w:rPr>
          <w:rFonts w:ascii="Arial Rounded MT Bold" w:eastAsia="Calibri" w:hAnsi="Arial Rounded MT Bold" w:cs="BookAntiqua"/>
          <w:sz w:val="28"/>
          <w:szCs w:val="28"/>
        </w:rPr>
      </w:pPr>
      <w:r w:rsidRPr="001A4107">
        <w:rPr>
          <w:rFonts w:ascii="Arial Rounded MT Bold" w:eastAsia="Calibri" w:hAnsi="Arial Rounded MT Bold" w:cs="BookAntiqua"/>
          <w:b/>
          <w:bCs/>
          <w:color w:val="0070C0"/>
          <w:sz w:val="28"/>
          <w:szCs w:val="28"/>
        </w:rPr>
        <w:t>Venous thrombi</w:t>
      </w:r>
      <w:r w:rsidRPr="001A4107">
        <w:rPr>
          <w:rFonts w:ascii="Arial Rounded MT Bold" w:eastAsia="Calibri" w:hAnsi="Arial Rounded MT Bold" w:cs="BookAntiqua"/>
          <w:color w:val="0070C0"/>
          <w:sz w:val="28"/>
          <w:szCs w:val="28"/>
        </w:rPr>
        <w:t xml:space="preserve"> </w:t>
      </w:r>
      <w:r w:rsidRPr="001A4107">
        <w:rPr>
          <w:rFonts w:ascii="Arial Rounded MT Bold" w:eastAsia="Calibri" w:hAnsi="Arial Rounded MT Bold" w:cs="BookAntiqua"/>
          <w:sz w:val="28"/>
          <w:szCs w:val="28"/>
        </w:rPr>
        <w:t>(</w:t>
      </w:r>
      <w:proofErr w:type="spellStart"/>
      <w:r w:rsidRPr="001A4107">
        <w:rPr>
          <w:rFonts w:ascii="Arial Rounded MT Bold" w:eastAsia="Calibri" w:hAnsi="Arial Rounded MT Bold" w:cs="BookAntiqua"/>
          <w:sz w:val="28"/>
          <w:szCs w:val="28"/>
        </w:rPr>
        <w:t>phlebothrombosis</w:t>
      </w:r>
      <w:proofErr w:type="spellEnd"/>
      <w:r w:rsidRPr="001A4107">
        <w:rPr>
          <w:rFonts w:ascii="Arial Rounded MT Bold" w:eastAsia="Calibri" w:hAnsi="Arial Rounded MT Bold" w:cs="BookAntiqua"/>
          <w:sz w:val="28"/>
          <w:szCs w:val="28"/>
        </w:rPr>
        <w:t xml:space="preserve">) are almost invariably occlusive; they frequently propagate some distance toward the heart, forming a long cast within the vessel lumen that is prone to give rise to emboli. Because these thrombi form in the sluggish venous circulation, they tend to contain more enmeshed red cells, leading to the moniker red, or stasis, thrombi. The veins of the lower extremities are most commonly affected (90% of venous </w:t>
      </w:r>
      <w:proofErr w:type="spellStart"/>
      <w:r w:rsidRPr="001A4107">
        <w:rPr>
          <w:rFonts w:ascii="Arial Rounded MT Bold" w:eastAsia="Calibri" w:hAnsi="Arial Rounded MT Bold" w:cs="BookAntiqua"/>
          <w:sz w:val="28"/>
          <w:szCs w:val="28"/>
        </w:rPr>
        <w:t>thromboses</w:t>
      </w:r>
      <w:proofErr w:type="spellEnd"/>
    </w:p>
    <w:p w:rsidR="001A4107" w:rsidRPr="001A4107" w:rsidRDefault="001A4107" w:rsidP="001A4107">
      <w:pPr>
        <w:autoSpaceDE w:val="0"/>
        <w:autoSpaceDN w:val="0"/>
        <w:bidi w:val="0"/>
        <w:adjustRightInd w:val="0"/>
        <w:spacing w:after="0" w:line="240" w:lineRule="auto"/>
        <w:ind w:left="-426" w:right="-759"/>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At autopsy, postmortem clots can sometimes be mistake for venous thrombi. However, the former are:</w:t>
      </w:r>
    </w:p>
    <w:p w:rsidR="001A4107" w:rsidRPr="001A4107" w:rsidRDefault="001A4107" w:rsidP="001A4107">
      <w:pPr>
        <w:numPr>
          <w:ilvl w:val="0"/>
          <w:numId w:val="5"/>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gelatinous </w:t>
      </w:r>
    </w:p>
    <w:p w:rsidR="001A4107" w:rsidRPr="001A4107" w:rsidRDefault="001A4107" w:rsidP="001A4107">
      <w:pPr>
        <w:numPr>
          <w:ilvl w:val="0"/>
          <w:numId w:val="5"/>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and because of red cell settling they have a dark red dependent portion and a yellow “chicken fat” upper portion;</w:t>
      </w:r>
    </w:p>
    <w:p w:rsidR="001A4107" w:rsidRPr="001A4107" w:rsidRDefault="001A4107" w:rsidP="001A4107">
      <w:pPr>
        <w:numPr>
          <w:ilvl w:val="0"/>
          <w:numId w:val="5"/>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they also are usually not attached to the underlying vessel wall. </w:t>
      </w:r>
    </w:p>
    <w:p w:rsidR="001A4107" w:rsidRPr="001A4107" w:rsidRDefault="001A4107" w:rsidP="001A4107">
      <w:pPr>
        <w:autoSpaceDE w:val="0"/>
        <w:autoSpaceDN w:val="0"/>
        <w:bidi w:val="0"/>
        <w:adjustRightInd w:val="0"/>
        <w:spacing w:after="0" w:line="240" w:lineRule="auto"/>
        <w:ind w:left="-426"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By contrast, red thrombi typically are:</w:t>
      </w:r>
    </w:p>
    <w:p w:rsidR="001A4107" w:rsidRPr="001A4107" w:rsidRDefault="001A4107" w:rsidP="001A4107">
      <w:pPr>
        <w:numPr>
          <w:ilvl w:val="0"/>
          <w:numId w:val="6"/>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firm, </w:t>
      </w:r>
    </w:p>
    <w:p w:rsidR="001A4107" w:rsidRPr="001A4107" w:rsidRDefault="001A4107" w:rsidP="001A4107">
      <w:pPr>
        <w:numPr>
          <w:ilvl w:val="0"/>
          <w:numId w:val="6"/>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focally attached to vessel walls,</w:t>
      </w:r>
    </w:p>
    <w:p w:rsidR="001A4107" w:rsidRPr="001A4107" w:rsidRDefault="001A4107" w:rsidP="001A4107">
      <w:pPr>
        <w:numPr>
          <w:ilvl w:val="0"/>
          <w:numId w:val="6"/>
        </w:numPr>
        <w:autoSpaceDE w:val="0"/>
        <w:autoSpaceDN w:val="0"/>
        <w:bidi w:val="0"/>
        <w:adjustRightInd w:val="0"/>
        <w:spacing w:after="0" w:line="240" w:lineRule="auto"/>
        <w:ind w:right="-759"/>
        <w:contextualSpacing/>
        <w:rPr>
          <w:rFonts w:ascii="Arial Rounded MT Bold" w:eastAsia="Calibri" w:hAnsi="Arial Rounded MT Bold" w:cs="BookAntiqua"/>
          <w:sz w:val="28"/>
          <w:szCs w:val="28"/>
        </w:rPr>
      </w:pPr>
      <w:r w:rsidRPr="001A4107">
        <w:rPr>
          <w:rFonts w:ascii="Arial Rounded MT Bold" w:eastAsia="Calibri" w:hAnsi="Arial Rounded MT Bold" w:cs="BookAntiqua"/>
          <w:sz w:val="28"/>
          <w:szCs w:val="28"/>
        </w:rPr>
        <w:t xml:space="preserve"> and the contain gray strands of deposited fibrin.</w:t>
      </w:r>
    </w:p>
    <w:p w:rsidR="001A4107" w:rsidRPr="001A4107" w:rsidRDefault="001A4107" w:rsidP="001A4107">
      <w:pPr>
        <w:autoSpaceDE w:val="0"/>
        <w:autoSpaceDN w:val="0"/>
        <w:bidi w:val="0"/>
        <w:adjustRightInd w:val="0"/>
        <w:spacing w:after="0" w:line="240" w:lineRule="auto"/>
        <w:ind w:left="-426" w:right="-759"/>
        <w:rPr>
          <w:rFonts w:ascii="Arial Rounded MT Bold" w:eastAsia="Calibri" w:hAnsi="Arial Rounded MT Bold" w:cs="BookAntiqua"/>
          <w:b/>
          <w:bCs/>
          <w:color w:val="00B0F0"/>
          <w:sz w:val="28"/>
          <w:szCs w:val="28"/>
        </w:rPr>
      </w:pPr>
      <w:r w:rsidRPr="001A4107">
        <w:rPr>
          <w:rFonts w:ascii="Arial Rounded MT Bold" w:eastAsia="Calibri" w:hAnsi="Arial Rounded MT Bold" w:cs="BookAntiqua"/>
          <w:b/>
          <w:bCs/>
          <w:color w:val="00B0F0"/>
          <w:sz w:val="28"/>
          <w:szCs w:val="28"/>
        </w:rPr>
        <w:t xml:space="preserve">Thrombi on heart valves are called </w:t>
      </w:r>
      <w:proofErr w:type="spellStart"/>
      <w:r w:rsidRPr="001A4107">
        <w:rPr>
          <w:rFonts w:ascii="Arial Rounded MT Bold" w:eastAsia="Calibri" w:hAnsi="Arial Rounded MT Bold" w:cs="BookAntiqua"/>
          <w:b/>
          <w:bCs/>
          <w:color w:val="00B0F0"/>
          <w:sz w:val="28"/>
          <w:szCs w:val="28"/>
        </w:rPr>
        <w:t>vegetations</w:t>
      </w:r>
      <w:proofErr w:type="spellEnd"/>
      <w:r w:rsidRPr="001A4107">
        <w:rPr>
          <w:rFonts w:ascii="Arial Rounded MT Bold" w:eastAsia="Calibri" w:hAnsi="Arial Rounded MT Bold" w:cs="BookAntiqua"/>
          <w:b/>
          <w:bCs/>
          <w:color w:val="00B0F0"/>
          <w:sz w:val="28"/>
          <w:szCs w:val="28"/>
        </w:rPr>
        <w:t>.</w:t>
      </w:r>
    </w:p>
    <w:p w:rsidR="001A4107" w:rsidRPr="001A4107" w:rsidRDefault="001A4107" w:rsidP="001A4107">
      <w:pPr>
        <w:autoSpaceDE w:val="0"/>
        <w:autoSpaceDN w:val="0"/>
        <w:bidi w:val="0"/>
        <w:adjustRightInd w:val="0"/>
        <w:spacing w:after="0" w:line="240" w:lineRule="auto"/>
        <w:ind w:left="-426" w:right="-759"/>
        <w:rPr>
          <w:rFonts w:ascii="Arial Rounded MT Bold" w:eastAsia="Calibri" w:hAnsi="Arial Rounded MT Bold" w:cs="BookAntiqua"/>
          <w:b/>
          <w:bCs/>
          <w:color w:val="00B0F0"/>
          <w:sz w:val="28"/>
          <w:szCs w:val="28"/>
        </w:rPr>
      </w:pPr>
      <w:r w:rsidRPr="001A4107">
        <w:rPr>
          <w:rFonts w:ascii="Arial Rounded MT Bold" w:eastAsia="Calibri" w:hAnsi="Arial Rounded MT Bold" w:cs="BookAntiqua"/>
          <w:b/>
          <w:bCs/>
          <w:color w:val="00B0F0"/>
          <w:sz w:val="28"/>
          <w:szCs w:val="28"/>
        </w:rPr>
        <w:t xml:space="preserve"> </w:t>
      </w:r>
    </w:p>
    <w:p w:rsidR="001A4107" w:rsidRPr="001A4107" w:rsidRDefault="001A4107" w:rsidP="001A4107">
      <w:pPr>
        <w:autoSpaceDE w:val="0"/>
        <w:autoSpaceDN w:val="0"/>
        <w:bidi w:val="0"/>
        <w:adjustRightInd w:val="0"/>
        <w:spacing w:after="0" w:line="240" w:lineRule="auto"/>
        <w:ind w:left="-426" w:right="-759"/>
        <w:jc w:val="center"/>
        <w:rPr>
          <w:rFonts w:ascii="Arial Rounded MT Bold" w:eastAsia="Calibri" w:hAnsi="Arial Rounded MT Bold" w:cs="BookAntiqua"/>
          <w:sz w:val="28"/>
          <w:szCs w:val="28"/>
        </w:rPr>
      </w:pPr>
      <w:r w:rsidRPr="001A4107">
        <w:rPr>
          <w:rFonts w:ascii="Arial Rounded MT Bold" w:eastAsia="Calibri" w:hAnsi="Arial Rounded MT Bold" w:cs="Arial"/>
          <w:noProof/>
        </w:rPr>
        <w:lastRenderedPageBreak/>
        <w:drawing>
          <wp:inline distT="0" distB="0" distL="0" distR="0" wp14:anchorId="6E74C26F" wp14:editId="10540959">
            <wp:extent cx="2333625" cy="2886075"/>
            <wp:effectExtent l="0" t="0" r="9525" b="9525"/>
            <wp:docPr id="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2">
                      <a:extLst>
                        <a:ext uri="{28A0092B-C50C-407E-A947-70E740481C1C}">
                          <a14:useLocalDpi xmlns:a14="http://schemas.microsoft.com/office/drawing/2010/main" val="0"/>
                        </a:ext>
                      </a:extLst>
                    </a:blip>
                    <a:srcRect l="58670" t="25459" r="13911" b="13943"/>
                    <a:stretch>
                      <a:fillRect/>
                    </a:stretch>
                  </pic:blipFill>
                  <pic:spPr bwMode="auto">
                    <a:xfrm>
                      <a:off x="0" y="0"/>
                      <a:ext cx="2333625" cy="2886075"/>
                    </a:xfrm>
                    <a:prstGeom prst="rect">
                      <a:avLst/>
                    </a:prstGeom>
                    <a:noFill/>
                    <a:ln>
                      <a:noFill/>
                    </a:ln>
                  </pic:spPr>
                </pic:pic>
              </a:graphicData>
            </a:graphic>
          </wp:inline>
        </w:drawing>
      </w:r>
    </w:p>
    <w:p w:rsidR="001A4107" w:rsidRPr="001A4107" w:rsidRDefault="001A4107" w:rsidP="001A4107">
      <w:pPr>
        <w:autoSpaceDE w:val="0"/>
        <w:autoSpaceDN w:val="0"/>
        <w:bidi w:val="0"/>
        <w:adjustRightInd w:val="0"/>
        <w:spacing w:after="0" w:line="240" w:lineRule="auto"/>
        <w:jc w:val="both"/>
        <w:rPr>
          <w:rFonts w:ascii="Arial Rounded MT Bold" w:eastAsia="Calibri" w:hAnsi="Arial Rounded MT Bold" w:cs="GillSans"/>
          <w:color w:val="7030A0"/>
          <w:sz w:val="24"/>
          <w:szCs w:val="24"/>
        </w:rPr>
      </w:pPr>
      <w:r w:rsidRPr="001A4107">
        <w:rPr>
          <w:rFonts w:ascii="Arial Rounded MT Bold" w:eastAsia="Calibri" w:hAnsi="Arial Rounded MT Bold" w:cs="GillSans-Bold"/>
          <w:b/>
          <w:bCs/>
          <w:color w:val="7030A0"/>
          <w:sz w:val="24"/>
          <w:szCs w:val="24"/>
        </w:rPr>
        <w:t xml:space="preserve">Fig. </w:t>
      </w:r>
      <w:r w:rsidRPr="001A4107">
        <w:rPr>
          <w:rFonts w:ascii="Arial Rounded MT Bold" w:eastAsia="Calibri" w:hAnsi="Arial Rounded MT Bold" w:cs="GillSans"/>
          <w:color w:val="7030A0"/>
          <w:sz w:val="24"/>
          <w:szCs w:val="24"/>
        </w:rPr>
        <w:t xml:space="preserve">Mural thrombi. (A) Thrombus in the left and right ventricular apices, overlying white fibrous scar. (B) Laminated thrombus in a dilated abdominal aortic aneurysm. Numerous friable mural thrombi are also superimposed on advanced atherosclerotic lesions of the more proximal aorta </w:t>
      </w:r>
      <w:r w:rsidRPr="001A4107">
        <w:rPr>
          <w:rFonts w:ascii="Arial Rounded MT Bold" w:eastAsia="Calibri" w:hAnsi="Arial Rounded MT Bold" w:cs="GillSans-Italic"/>
          <w:i/>
          <w:iCs/>
          <w:color w:val="7030A0"/>
          <w:sz w:val="24"/>
          <w:szCs w:val="24"/>
        </w:rPr>
        <w:t>(left side of photograph).</w:t>
      </w:r>
    </w:p>
    <w:p w:rsidR="001A4107" w:rsidRPr="001A4107" w:rsidRDefault="001A4107" w:rsidP="001A4107">
      <w:pPr>
        <w:autoSpaceDE w:val="0"/>
        <w:autoSpaceDN w:val="0"/>
        <w:bidi w:val="0"/>
        <w:adjustRightInd w:val="0"/>
        <w:spacing w:after="0" w:line="240" w:lineRule="auto"/>
        <w:ind w:left="-426" w:right="-759"/>
        <w:rPr>
          <w:rFonts w:ascii="Arial Rounded MT Bold" w:eastAsia="Calibri" w:hAnsi="Arial Rounded MT Bold" w:cs="BookAntiqua"/>
          <w:sz w:val="28"/>
          <w:szCs w:val="28"/>
        </w:rPr>
      </w:pPr>
    </w:p>
    <w:p w:rsidR="001A4107" w:rsidRPr="001A4107" w:rsidRDefault="001A4107" w:rsidP="001A4107">
      <w:pPr>
        <w:autoSpaceDE w:val="0"/>
        <w:autoSpaceDN w:val="0"/>
        <w:bidi w:val="0"/>
        <w:adjustRightInd w:val="0"/>
        <w:spacing w:after="0" w:line="240" w:lineRule="auto"/>
        <w:ind w:left="-426" w:right="-759"/>
        <w:jc w:val="right"/>
        <w:rPr>
          <w:rFonts w:ascii="Arial Rounded MT Bold" w:eastAsia="Calibri" w:hAnsi="Arial Rounded MT Bold" w:cs="BookAntiqua"/>
          <w:b/>
          <w:bCs/>
          <w:i/>
          <w:iCs/>
          <w:sz w:val="24"/>
          <w:szCs w:val="24"/>
        </w:rPr>
      </w:pPr>
    </w:p>
    <w:p w:rsidR="00991154" w:rsidRDefault="00991154" w:rsidP="001A4107">
      <w:pPr>
        <w:bidi w:val="0"/>
        <w:rPr>
          <w:lang w:bidi="ar-IQ"/>
        </w:rPr>
      </w:pPr>
      <w:bookmarkStart w:id="0" w:name="_GoBack"/>
      <w:bookmarkEnd w:id="0"/>
    </w:p>
    <w:sectPr w:rsidR="00991154" w:rsidSect="00C721E0">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05A" w:rsidRDefault="0038005A" w:rsidP="001A4107">
      <w:pPr>
        <w:spacing w:after="0" w:line="240" w:lineRule="auto"/>
      </w:pPr>
      <w:r>
        <w:separator/>
      </w:r>
    </w:p>
  </w:endnote>
  <w:endnote w:type="continuationSeparator" w:id="0">
    <w:p w:rsidR="0038005A" w:rsidRDefault="0038005A" w:rsidP="001A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B2"/>
    <w:family w:val="swiss"/>
    <w:notTrueType/>
    <w:pitch w:val="default"/>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ookAntiqua">
    <w:panose1 w:val="00000000000000000000"/>
    <w:charset w:val="B2"/>
    <w:family w:val="auto"/>
    <w:notTrueType/>
    <w:pitch w:val="default"/>
    <w:sig w:usb0="00002001" w:usb1="00000000" w:usb2="00000000" w:usb3="00000000" w:csb0="00000040" w:csb1="00000000"/>
  </w:font>
  <w:font w:name="GillSans-BoldItalic">
    <w:panose1 w:val="00000000000000000000"/>
    <w:charset w:val="B2"/>
    <w:family w:val="swiss"/>
    <w:notTrueType/>
    <w:pitch w:val="default"/>
    <w:sig w:usb0="00002001" w:usb1="00000000" w:usb2="00000000" w:usb3="00000000" w:csb0="00000040" w:csb1="00000000"/>
  </w:font>
  <w:font w:name="GillSans-Bold">
    <w:panose1 w:val="00000000000000000000"/>
    <w:charset w:val="B2"/>
    <w:family w:val="swiss"/>
    <w:notTrueType/>
    <w:pitch w:val="default"/>
    <w:sig w:usb0="00002001" w:usb1="00000000" w:usb2="00000000" w:usb3="00000000" w:csb0="00000040" w:csb1="00000000"/>
  </w:font>
  <w:font w:name="GillSans-Italic">
    <w:panose1 w:val="00000000000000000000"/>
    <w:charset w:val="B2"/>
    <w:family w:val="swiss"/>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6942334"/>
      <w:docPartObj>
        <w:docPartGallery w:val="Page Numbers (Bottom of Page)"/>
        <w:docPartUnique/>
      </w:docPartObj>
    </w:sdtPr>
    <w:sdtEndPr/>
    <w:sdtContent>
      <w:p w:rsidR="001A4107" w:rsidRDefault="001A4107">
        <w:pPr>
          <w:pStyle w:val="a5"/>
          <w:jc w:val="center"/>
        </w:pPr>
        <w:r>
          <w:fldChar w:fldCharType="begin"/>
        </w:r>
        <w:r>
          <w:instrText>PAGE   \* MERGEFORMAT</w:instrText>
        </w:r>
        <w:r>
          <w:fldChar w:fldCharType="separate"/>
        </w:r>
        <w:r w:rsidR="00BF6571" w:rsidRPr="00BF6571">
          <w:rPr>
            <w:noProof/>
            <w:rtl/>
            <w:lang w:val="ar-SA"/>
          </w:rPr>
          <w:t>8</w:t>
        </w:r>
        <w:r>
          <w:fldChar w:fldCharType="end"/>
        </w:r>
      </w:p>
    </w:sdtContent>
  </w:sdt>
  <w:p w:rsidR="001A4107" w:rsidRDefault="001A41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05A" w:rsidRDefault="0038005A" w:rsidP="001A4107">
      <w:pPr>
        <w:spacing w:after="0" w:line="240" w:lineRule="auto"/>
      </w:pPr>
      <w:r>
        <w:separator/>
      </w:r>
    </w:p>
  </w:footnote>
  <w:footnote w:type="continuationSeparator" w:id="0">
    <w:p w:rsidR="0038005A" w:rsidRDefault="0038005A" w:rsidP="001A41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07F3A"/>
    <w:multiLevelType w:val="hybridMultilevel"/>
    <w:tmpl w:val="56927FBA"/>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
    <w:nsid w:val="1F70440D"/>
    <w:multiLevelType w:val="hybridMultilevel"/>
    <w:tmpl w:val="D218663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
    <w:nsid w:val="27EE2091"/>
    <w:multiLevelType w:val="hybridMultilevel"/>
    <w:tmpl w:val="2BF26CD6"/>
    <w:lvl w:ilvl="0" w:tplc="04090001">
      <w:start w:val="1"/>
      <w:numFmt w:val="bullet"/>
      <w:lvlText w:val=""/>
      <w:lvlJc w:val="left"/>
      <w:pPr>
        <w:ind w:left="385" w:hanging="360"/>
      </w:pPr>
      <w:rPr>
        <w:rFonts w:ascii="Symbol" w:hAnsi="Symbol" w:hint="default"/>
      </w:rPr>
    </w:lvl>
    <w:lvl w:ilvl="1" w:tplc="04090003">
      <w:start w:val="1"/>
      <w:numFmt w:val="bullet"/>
      <w:lvlText w:val="o"/>
      <w:lvlJc w:val="left"/>
      <w:pPr>
        <w:ind w:left="1105" w:hanging="360"/>
      </w:pPr>
      <w:rPr>
        <w:rFonts w:ascii="Courier New" w:hAnsi="Courier New" w:cs="Courier New" w:hint="default"/>
      </w:rPr>
    </w:lvl>
    <w:lvl w:ilvl="2" w:tplc="04090005">
      <w:start w:val="1"/>
      <w:numFmt w:val="bullet"/>
      <w:lvlText w:val=""/>
      <w:lvlJc w:val="left"/>
      <w:pPr>
        <w:ind w:left="1825" w:hanging="360"/>
      </w:pPr>
      <w:rPr>
        <w:rFonts w:ascii="Wingdings" w:hAnsi="Wingdings" w:hint="default"/>
      </w:rPr>
    </w:lvl>
    <w:lvl w:ilvl="3" w:tplc="04090001">
      <w:start w:val="1"/>
      <w:numFmt w:val="bullet"/>
      <w:lvlText w:val=""/>
      <w:lvlJc w:val="left"/>
      <w:pPr>
        <w:ind w:left="2545" w:hanging="360"/>
      </w:pPr>
      <w:rPr>
        <w:rFonts w:ascii="Symbol" w:hAnsi="Symbol" w:hint="default"/>
      </w:rPr>
    </w:lvl>
    <w:lvl w:ilvl="4" w:tplc="04090003">
      <w:start w:val="1"/>
      <w:numFmt w:val="bullet"/>
      <w:lvlText w:val="o"/>
      <w:lvlJc w:val="left"/>
      <w:pPr>
        <w:ind w:left="3265" w:hanging="360"/>
      </w:pPr>
      <w:rPr>
        <w:rFonts w:ascii="Courier New" w:hAnsi="Courier New" w:cs="Courier New" w:hint="default"/>
      </w:rPr>
    </w:lvl>
    <w:lvl w:ilvl="5" w:tplc="04090005">
      <w:start w:val="1"/>
      <w:numFmt w:val="bullet"/>
      <w:lvlText w:val=""/>
      <w:lvlJc w:val="left"/>
      <w:pPr>
        <w:ind w:left="3985" w:hanging="360"/>
      </w:pPr>
      <w:rPr>
        <w:rFonts w:ascii="Wingdings" w:hAnsi="Wingdings" w:hint="default"/>
      </w:rPr>
    </w:lvl>
    <w:lvl w:ilvl="6" w:tplc="04090001">
      <w:start w:val="1"/>
      <w:numFmt w:val="bullet"/>
      <w:lvlText w:val=""/>
      <w:lvlJc w:val="left"/>
      <w:pPr>
        <w:ind w:left="4705" w:hanging="360"/>
      </w:pPr>
      <w:rPr>
        <w:rFonts w:ascii="Symbol" w:hAnsi="Symbol" w:hint="default"/>
      </w:rPr>
    </w:lvl>
    <w:lvl w:ilvl="7" w:tplc="04090003">
      <w:start w:val="1"/>
      <w:numFmt w:val="bullet"/>
      <w:lvlText w:val="o"/>
      <w:lvlJc w:val="left"/>
      <w:pPr>
        <w:ind w:left="5425" w:hanging="360"/>
      </w:pPr>
      <w:rPr>
        <w:rFonts w:ascii="Courier New" w:hAnsi="Courier New" w:cs="Courier New" w:hint="default"/>
      </w:rPr>
    </w:lvl>
    <w:lvl w:ilvl="8" w:tplc="04090005">
      <w:start w:val="1"/>
      <w:numFmt w:val="bullet"/>
      <w:lvlText w:val=""/>
      <w:lvlJc w:val="left"/>
      <w:pPr>
        <w:ind w:left="6145" w:hanging="360"/>
      </w:pPr>
      <w:rPr>
        <w:rFonts w:ascii="Wingdings" w:hAnsi="Wingdings" w:hint="default"/>
      </w:rPr>
    </w:lvl>
  </w:abstractNum>
  <w:abstractNum w:abstractNumId="3">
    <w:nsid w:val="4C367290"/>
    <w:multiLevelType w:val="hybridMultilevel"/>
    <w:tmpl w:val="F38E5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96362E0"/>
    <w:multiLevelType w:val="hybridMultilevel"/>
    <w:tmpl w:val="F57AD440"/>
    <w:lvl w:ilvl="0" w:tplc="04090001">
      <w:start w:val="1"/>
      <w:numFmt w:val="bullet"/>
      <w:lvlText w:val=""/>
      <w:lvlJc w:val="left"/>
      <w:pPr>
        <w:ind w:left="385" w:hanging="360"/>
      </w:pPr>
      <w:rPr>
        <w:rFonts w:ascii="Symbol" w:hAnsi="Symbol" w:hint="default"/>
      </w:rPr>
    </w:lvl>
    <w:lvl w:ilvl="1" w:tplc="04090003">
      <w:start w:val="1"/>
      <w:numFmt w:val="bullet"/>
      <w:lvlText w:val="o"/>
      <w:lvlJc w:val="left"/>
      <w:pPr>
        <w:ind w:left="1105" w:hanging="360"/>
      </w:pPr>
      <w:rPr>
        <w:rFonts w:ascii="Courier New" w:hAnsi="Courier New" w:cs="Courier New" w:hint="default"/>
      </w:rPr>
    </w:lvl>
    <w:lvl w:ilvl="2" w:tplc="04090005">
      <w:start w:val="1"/>
      <w:numFmt w:val="bullet"/>
      <w:lvlText w:val=""/>
      <w:lvlJc w:val="left"/>
      <w:pPr>
        <w:ind w:left="1825" w:hanging="360"/>
      </w:pPr>
      <w:rPr>
        <w:rFonts w:ascii="Wingdings" w:hAnsi="Wingdings" w:hint="default"/>
      </w:rPr>
    </w:lvl>
    <w:lvl w:ilvl="3" w:tplc="04090001">
      <w:start w:val="1"/>
      <w:numFmt w:val="bullet"/>
      <w:lvlText w:val=""/>
      <w:lvlJc w:val="left"/>
      <w:pPr>
        <w:ind w:left="2545" w:hanging="360"/>
      </w:pPr>
      <w:rPr>
        <w:rFonts w:ascii="Symbol" w:hAnsi="Symbol" w:hint="default"/>
      </w:rPr>
    </w:lvl>
    <w:lvl w:ilvl="4" w:tplc="04090003">
      <w:start w:val="1"/>
      <w:numFmt w:val="bullet"/>
      <w:lvlText w:val="o"/>
      <w:lvlJc w:val="left"/>
      <w:pPr>
        <w:ind w:left="3265" w:hanging="360"/>
      </w:pPr>
      <w:rPr>
        <w:rFonts w:ascii="Courier New" w:hAnsi="Courier New" w:cs="Courier New" w:hint="default"/>
      </w:rPr>
    </w:lvl>
    <w:lvl w:ilvl="5" w:tplc="04090005">
      <w:start w:val="1"/>
      <w:numFmt w:val="bullet"/>
      <w:lvlText w:val=""/>
      <w:lvlJc w:val="left"/>
      <w:pPr>
        <w:ind w:left="3985" w:hanging="360"/>
      </w:pPr>
      <w:rPr>
        <w:rFonts w:ascii="Wingdings" w:hAnsi="Wingdings" w:hint="default"/>
      </w:rPr>
    </w:lvl>
    <w:lvl w:ilvl="6" w:tplc="04090001">
      <w:start w:val="1"/>
      <w:numFmt w:val="bullet"/>
      <w:lvlText w:val=""/>
      <w:lvlJc w:val="left"/>
      <w:pPr>
        <w:ind w:left="4705" w:hanging="360"/>
      </w:pPr>
      <w:rPr>
        <w:rFonts w:ascii="Symbol" w:hAnsi="Symbol" w:hint="default"/>
      </w:rPr>
    </w:lvl>
    <w:lvl w:ilvl="7" w:tplc="04090003">
      <w:start w:val="1"/>
      <w:numFmt w:val="bullet"/>
      <w:lvlText w:val="o"/>
      <w:lvlJc w:val="left"/>
      <w:pPr>
        <w:ind w:left="5425" w:hanging="360"/>
      </w:pPr>
      <w:rPr>
        <w:rFonts w:ascii="Courier New" w:hAnsi="Courier New" w:cs="Courier New" w:hint="default"/>
      </w:rPr>
    </w:lvl>
    <w:lvl w:ilvl="8" w:tplc="04090005">
      <w:start w:val="1"/>
      <w:numFmt w:val="bullet"/>
      <w:lvlText w:val=""/>
      <w:lvlJc w:val="left"/>
      <w:pPr>
        <w:ind w:left="6145" w:hanging="360"/>
      </w:pPr>
      <w:rPr>
        <w:rFonts w:ascii="Wingdings" w:hAnsi="Wingdings" w:hint="default"/>
      </w:rPr>
    </w:lvl>
  </w:abstractNum>
  <w:abstractNum w:abstractNumId="5">
    <w:nsid w:val="5BE22C82"/>
    <w:multiLevelType w:val="hybridMultilevel"/>
    <w:tmpl w:val="27A2F5A8"/>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Courier New"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Courier New" w:hint="default"/>
      </w:rPr>
    </w:lvl>
    <w:lvl w:ilvl="8" w:tplc="04090005">
      <w:start w:val="1"/>
      <w:numFmt w:val="bullet"/>
      <w:lvlText w:val=""/>
      <w:lvlJc w:val="left"/>
      <w:pPr>
        <w:ind w:left="5913"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107"/>
    <w:rsid w:val="00091551"/>
    <w:rsid w:val="000D117A"/>
    <w:rsid w:val="00183BF7"/>
    <w:rsid w:val="001A4107"/>
    <w:rsid w:val="0038005A"/>
    <w:rsid w:val="004C7EFC"/>
    <w:rsid w:val="00517AAB"/>
    <w:rsid w:val="00555577"/>
    <w:rsid w:val="00764569"/>
    <w:rsid w:val="009648E1"/>
    <w:rsid w:val="00991154"/>
    <w:rsid w:val="00995771"/>
    <w:rsid w:val="009F66B1"/>
    <w:rsid w:val="00BF6571"/>
    <w:rsid w:val="00C72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410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A4107"/>
    <w:rPr>
      <w:rFonts w:ascii="Tahoma" w:hAnsi="Tahoma" w:cs="Tahoma"/>
      <w:sz w:val="16"/>
      <w:szCs w:val="16"/>
    </w:rPr>
  </w:style>
  <w:style w:type="paragraph" w:styleId="a4">
    <w:name w:val="header"/>
    <w:basedOn w:val="a"/>
    <w:link w:val="Char0"/>
    <w:uiPriority w:val="99"/>
    <w:unhideWhenUsed/>
    <w:rsid w:val="001A4107"/>
    <w:pPr>
      <w:tabs>
        <w:tab w:val="center" w:pos="4153"/>
        <w:tab w:val="right" w:pos="8306"/>
      </w:tabs>
      <w:spacing w:after="0" w:line="240" w:lineRule="auto"/>
    </w:pPr>
  </w:style>
  <w:style w:type="character" w:customStyle="1" w:styleId="Char0">
    <w:name w:val="رأس الصفحة Char"/>
    <w:basedOn w:val="a0"/>
    <w:link w:val="a4"/>
    <w:uiPriority w:val="99"/>
    <w:rsid w:val="001A4107"/>
  </w:style>
  <w:style w:type="paragraph" w:styleId="a5">
    <w:name w:val="footer"/>
    <w:basedOn w:val="a"/>
    <w:link w:val="Char1"/>
    <w:uiPriority w:val="99"/>
    <w:unhideWhenUsed/>
    <w:rsid w:val="001A4107"/>
    <w:pPr>
      <w:tabs>
        <w:tab w:val="center" w:pos="4153"/>
        <w:tab w:val="right" w:pos="8306"/>
      </w:tabs>
      <w:spacing w:after="0" w:line="240" w:lineRule="auto"/>
    </w:pPr>
  </w:style>
  <w:style w:type="character" w:customStyle="1" w:styleId="Char1">
    <w:name w:val="تذييل الصفحة Char"/>
    <w:basedOn w:val="a0"/>
    <w:link w:val="a5"/>
    <w:uiPriority w:val="99"/>
    <w:rsid w:val="001A41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410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A4107"/>
    <w:rPr>
      <w:rFonts w:ascii="Tahoma" w:hAnsi="Tahoma" w:cs="Tahoma"/>
      <w:sz w:val="16"/>
      <w:szCs w:val="16"/>
    </w:rPr>
  </w:style>
  <w:style w:type="paragraph" w:styleId="a4">
    <w:name w:val="header"/>
    <w:basedOn w:val="a"/>
    <w:link w:val="Char0"/>
    <w:uiPriority w:val="99"/>
    <w:unhideWhenUsed/>
    <w:rsid w:val="001A4107"/>
    <w:pPr>
      <w:tabs>
        <w:tab w:val="center" w:pos="4153"/>
        <w:tab w:val="right" w:pos="8306"/>
      </w:tabs>
      <w:spacing w:after="0" w:line="240" w:lineRule="auto"/>
    </w:pPr>
  </w:style>
  <w:style w:type="character" w:customStyle="1" w:styleId="Char0">
    <w:name w:val="رأس الصفحة Char"/>
    <w:basedOn w:val="a0"/>
    <w:link w:val="a4"/>
    <w:uiPriority w:val="99"/>
    <w:rsid w:val="001A4107"/>
  </w:style>
  <w:style w:type="paragraph" w:styleId="a5">
    <w:name w:val="footer"/>
    <w:basedOn w:val="a"/>
    <w:link w:val="Char1"/>
    <w:uiPriority w:val="99"/>
    <w:unhideWhenUsed/>
    <w:rsid w:val="001A4107"/>
    <w:pPr>
      <w:tabs>
        <w:tab w:val="center" w:pos="4153"/>
        <w:tab w:val="right" w:pos="8306"/>
      </w:tabs>
      <w:spacing w:after="0" w:line="240" w:lineRule="auto"/>
    </w:pPr>
  </w:style>
  <w:style w:type="character" w:customStyle="1" w:styleId="Char1">
    <w:name w:val="تذييل الصفحة Char"/>
    <w:basedOn w:val="a0"/>
    <w:link w:val="a5"/>
    <w:uiPriority w:val="99"/>
    <w:rsid w:val="001A4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1523</Words>
  <Characters>8686</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10189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2</cp:revision>
  <dcterms:created xsi:type="dcterms:W3CDTF">2021-01-20T13:24:00Z</dcterms:created>
  <dcterms:modified xsi:type="dcterms:W3CDTF">2021-01-20T13:24:00Z</dcterms:modified>
</cp:coreProperties>
</file>